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C645D" w14:textId="77777777" w:rsidR="00431024" w:rsidRDefault="00431024">
      <w:pPr>
        <w:pStyle w:val="p"/>
      </w:pPr>
      <w:r>
        <w:rPr>
          <w:b/>
          <w:bCs/>
          <w:sz w:val="24"/>
          <w:szCs w:val="24"/>
          <w:lang/>
        </w:rPr>
        <w:t>Uganda</w:t>
      </w:r>
      <w:r>
        <w:rPr>
          <w:sz w:val="24"/>
          <w:szCs w:val="24"/>
          <w:lang/>
        </w:rPr>
        <w:br/>
      </w:r>
      <w:r>
        <w:rPr>
          <w:sz w:val="24"/>
          <w:szCs w:val="24"/>
          <w:lang/>
        </w:rPr>
        <w:br/>
      </w:r>
      <w:r>
        <w:rPr>
          <w:b/>
          <w:bCs/>
          <w:lang/>
        </w:rPr>
        <w:t xml:space="preserve">1. Overview </w:t>
      </w:r>
      <w:r>
        <w:rPr>
          <w:b/>
          <w:bCs/>
          <w:lang/>
        </w:rPr>
        <w:br/>
      </w:r>
      <w:r>
        <w:rPr>
          <w:b/>
          <w:bCs/>
          <w:lang/>
        </w:rPr>
        <w:br/>
        <w:t xml:space="preserve">1.1. Government and Tax System </w:t>
      </w:r>
      <w:r>
        <w:rPr>
          <w:b/>
          <w:bCs/>
          <w:lang/>
        </w:rPr>
        <w:br/>
      </w:r>
      <w:r>
        <w:t>The Republic of Uganda is a dualist state with separation of powers between the executive led by the president, legislature led by the speaker of Parliament and the judiciary led by the chief justice.</w:t>
      </w:r>
    </w:p>
    <w:p w14:paraId="13632246" w14:textId="77777777" w:rsidR="00431024" w:rsidRDefault="00431024">
      <w:pPr>
        <w:pStyle w:val="p"/>
      </w:pPr>
      <w:r>
        <w:t>Legislation is passed by Parliament and approved by the president. It usually becomes law on publication of the commencement date in a statutory instrument</w:t>
      </w:r>
      <w:r w:rsidR="00E66F23">
        <w:t xml:space="preserve"> in the national gazette</w:t>
      </w:r>
      <w:r>
        <w:t>.</w:t>
      </w:r>
    </w:p>
    <w:p w14:paraId="5D268CC7" w14:textId="77777777" w:rsidR="00431024" w:rsidRDefault="00431024">
      <w:pPr>
        <w:pStyle w:val="p"/>
      </w:pPr>
      <w:r>
        <w:t>The Uganda Revenue Authority (URA) is the central body for the assessment and collection of specified revenue, administering and enforcing the legislation related to such revenue.</w:t>
      </w:r>
    </w:p>
    <w:p w14:paraId="2AF394B9" w14:textId="77777777" w:rsidR="00431024" w:rsidRDefault="00431024">
      <w:pPr>
        <w:pStyle w:val="p"/>
      </w:pPr>
      <w:r>
        <w:t>The Income Tax Act (Cap. 340) (ITA) consolidates the law relating to income tax in Uganda. The Tax Procedures Code Act, 2014 (TPCA), on the other hand, regulates, harmonizes and consolidates the procedures for the administration of specified tax laws in Uganda.</w:t>
      </w:r>
    </w:p>
    <w:p w14:paraId="5D9D3C4C" w14:textId="77777777" w:rsidR="00431024" w:rsidRDefault="00431024">
      <w:pPr>
        <w:pStyle w:val="p"/>
      </w:pPr>
      <w:r>
        <w:t>The TPCA states that the Commissioner General of the URA (Commissioner) may issue private rulings upon written application by a taxpayer.</w:t>
      </w:r>
      <w:r w:rsidRPr="0030192A">
        <w:rPr>
          <w:rStyle w:val="FootnoteReference"/>
        </w:rPr>
        <w:footnoteReference w:customMarkFollows="1" w:id="1"/>
        <w:t>1</w:t>
      </w:r>
      <w:r>
        <w:t xml:space="preserve"> The Commissioner is also authorized to issue practice notes setting out his or her interpretation of the ITA.</w:t>
      </w:r>
      <w:r w:rsidRPr="0030192A">
        <w:rPr>
          <w:rStyle w:val="FootnoteReference"/>
        </w:rPr>
        <w:footnoteReference w:customMarkFollows="1" w:id="2"/>
        <w:t>2</w:t>
      </w:r>
      <w:r>
        <w:t xml:space="preserve"> Practice notes are binding on the Commissioner until revoked, while private rulings are binding on the Commissioner in relation to the taxpayer to whom they are issued, but are not binding on the taxpayer.</w:t>
      </w:r>
      <w:r w:rsidRPr="0030192A">
        <w:rPr>
          <w:rStyle w:val="FootnoteReference"/>
        </w:rPr>
        <w:footnoteReference w:customMarkFollows="1" w:id="3"/>
        <w:t>3</w:t>
      </w:r>
      <w:r>
        <w:t xml:space="preserve"> When there is an inconsistency between a private ruling and a practice note, the private ruling has priority to the extent of the inconsistency.</w:t>
      </w:r>
      <w:r w:rsidRPr="0030192A">
        <w:rPr>
          <w:rStyle w:val="FootnoteReference"/>
        </w:rPr>
        <w:footnoteReference w:customMarkFollows="1" w:id="4"/>
        <w:t>4</w:t>
      </w:r>
    </w:p>
    <w:p w14:paraId="741F0733" w14:textId="77777777" w:rsidR="00431024" w:rsidRDefault="00431024">
      <w:pPr>
        <w:pStyle w:val="p"/>
      </w:pPr>
      <w:r>
        <w:rPr>
          <w:sz w:val="24"/>
          <w:szCs w:val="24"/>
        </w:rPr>
        <w:br/>
      </w:r>
      <w:r>
        <w:rPr>
          <w:b/>
          <w:bCs/>
        </w:rPr>
        <w:t xml:space="preserve">1.2. Currency </w:t>
      </w:r>
      <w:r>
        <w:rPr>
          <w:b/>
          <w:bCs/>
        </w:rPr>
        <w:br/>
      </w:r>
      <w:r>
        <w:t>The currency of Uganda is the Ugandan shilling.</w:t>
      </w:r>
    </w:p>
    <w:p w14:paraId="65641654" w14:textId="77777777" w:rsidR="00431024" w:rsidRDefault="00431024">
      <w:pPr>
        <w:pStyle w:val="p"/>
      </w:pPr>
      <w:r>
        <w:rPr>
          <w:sz w:val="24"/>
          <w:szCs w:val="24"/>
        </w:rPr>
        <w:br/>
      </w:r>
      <w:r>
        <w:rPr>
          <w:b/>
          <w:bCs/>
        </w:rPr>
        <w:t xml:space="preserve">1.3. Membership of International Organizations </w:t>
      </w:r>
      <w:r>
        <w:rPr>
          <w:b/>
          <w:bCs/>
        </w:rPr>
        <w:br/>
      </w:r>
      <w:r>
        <w:t>Uganda is a member of the East African Community (EAC), the Common Market for Eastern and Southern Africa (COMESA), the Organization for Economic Cooperation and Development (OECD) and the World Trade Organization (WTO).</w:t>
      </w:r>
    </w:p>
    <w:p w14:paraId="4BB97672" w14:textId="77777777" w:rsidR="00431024" w:rsidRDefault="00431024">
      <w:pPr>
        <w:pStyle w:val="p"/>
      </w:pPr>
      <w:r>
        <w:rPr>
          <w:sz w:val="24"/>
          <w:szCs w:val="24"/>
        </w:rPr>
        <w:br/>
      </w:r>
      <w:r>
        <w:rPr>
          <w:b/>
          <w:bCs/>
        </w:rPr>
        <w:t xml:space="preserve">1.4. Official Websites </w:t>
      </w:r>
      <w:r>
        <w:rPr>
          <w:b/>
          <w:bCs/>
        </w:rPr>
        <w:br/>
      </w:r>
      <w:r>
        <w:t xml:space="preserve">In Uganda, official websites include the following: </w:t>
      </w:r>
    </w:p>
    <w:p w14:paraId="2501DCC4" w14:textId="77777777" w:rsidR="00431024" w:rsidRDefault="003931E2">
      <w:pPr>
        <w:pStyle w:val="p"/>
      </w:pPr>
      <w:r w:rsidRPr="00D7377F">
        <w:rPr>
          <w:noProof/>
        </w:rPr>
        <w:drawing>
          <wp:inline distT="0" distB="0" distL="0" distR="0" wp14:anchorId="62CFEF68" wp14:editId="5E20494A">
            <wp:extent cx="89535" cy="8953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Uganda Revenue Authority — </w:t>
      </w:r>
      <w:hyperlink r:id="rId9" w:history="1">
        <w:r w:rsidR="00431024" w:rsidRPr="007568F3">
          <w:rPr>
            <w:rStyle w:val="Hyperlink"/>
            <w:i/>
            <w:iCs/>
          </w:rPr>
          <w:t>https://www.ura.go.ug</w:t>
        </w:r>
      </w:hyperlink>
    </w:p>
    <w:p w14:paraId="537F0D84" w14:textId="77777777" w:rsidR="00431024" w:rsidRDefault="003931E2">
      <w:pPr>
        <w:pStyle w:val="p"/>
      </w:pPr>
      <w:r w:rsidRPr="00D7377F">
        <w:rPr>
          <w:noProof/>
        </w:rPr>
        <w:drawing>
          <wp:inline distT="0" distB="0" distL="0" distR="0" wp14:anchorId="17A873ED" wp14:editId="34740EFC">
            <wp:extent cx="89535" cy="8953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Ministry of Finance, Planning and Economic Development — </w:t>
      </w:r>
      <w:hyperlink r:id="rId10" w:history="1">
        <w:r w:rsidR="00431024" w:rsidRPr="007568F3">
          <w:rPr>
            <w:rStyle w:val="Hyperlink"/>
            <w:i/>
            <w:iCs/>
          </w:rPr>
          <w:t>https://www.finance.go.ug</w:t>
        </w:r>
      </w:hyperlink>
    </w:p>
    <w:p w14:paraId="4C365147" w14:textId="77777777" w:rsidR="00431024" w:rsidRDefault="003931E2">
      <w:pPr>
        <w:pStyle w:val="p"/>
      </w:pPr>
      <w:r w:rsidRPr="00D7377F">
        <w:rPr>
          <w:noProof/>
        </w:rPr>
        <w:drawing>
          <wp:inline distT="0" distB="0" distL="0" distR="0" wp14:anchorId="636FA2C0" wp14:editId="4CC38B59">
            <wp:extent cx="89535" cy="895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Uganda Free Trade Zones — </w:t>
      </w:r>
      <w:hyperlink r:id="rId11" w:history="1">
        <w:r w:rsidR="00431024" w:rsidRPr="007568F3">
          <w:rPr>
            <w:rStyle w:val="Hyperlink"/>
            <w:i/>
            <w:iCs/>
          </w:rPr>
          <w:t>https://freezones.go.ug</w:t>
        </w:r>
      </w:hyperlink>
    </w:p>
    <w:p w14:paraId="5AD8DFD7" w14:textId="77777777" w:rsidR="00431024" w:rsidRDefault="003931E2">
      <w:pPr>
        <w:pStyle w:val="p"/>
      </w:pPr>
      <w:r w:rsidRPr="00D7377F">
        <w:rPr>
          <w:noProof/>
        </w:rPr>
        <w:drawing>
          <wp:inline distT="0" distB="0" distL="0" distR="0" wp14:anchorId="04C5A8E2" wp14:editId="2DEC8785">
            <wp:extent cx="89535" cy="8953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Uganda Investment Authority — </w:t>
      </w:r>
      <w:hyperlink r:id="rId12" w:history="1">
        <w:r w:rsidR="00431024" w:rsidRPr="007568F3">
          <w:rPr>
            <w:rStyle w:val="Hyperlink"/>
            <w:i/>
            <w:iCs/>
          </w:rPr>
          <w:t>https://www.ugandainvest.go.ug</w:t>
        </w:r>
      </w:hyperlink>
    </w:p>
    <w:p w14:paraId="4D102D25" w14:textId="77777777" w:rsidR="00431024" w:rsidRDefault="003931E2">
      <w:pPr>
        <w:pStyle w:val="p"/>
      </w:pPr>
      <w:r w:rsidRPr="00D7377F">
        <w:rPr>
          <w:noProof/>
        </w:rPr>
        <w:drawing>
          <wp:inline distT="0" distB="0" distL="0" distR="0" wp14:anchorId="6617D39A" wp14:editId="3B1DB66E">
            <wp:extent cx="89535" cy="89535"/>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Tax legislation can be found at the URA website — </w:t>
      </w:r>
      <w:hyperlink r:id="rId13" w:history="1">
        <w:r w:rsidR="00431024" w:rsidRPr="007568F3">
          <w:rPr>
            <w:rStyle w:val="Hyperlink"/>
            <w:i/>
            <w:iCs/>
          </w:rPr>
          <w:t>https://www.ura.go.ug</w:t>
        </w:r>
      </w:hyperlink>
    </w:p>
    <w:p w14:paraId="00A0CFD1" w14:textId="77777777" w:rsidR="00431024" w:rsidRDefault="00431024">
      <w:pPr>
        <w:rPr>
          <w:sz w:val="24"/>
          <w:szCs w:val="24"/>
        </w:rPr>
      </w:pPr>
    </w:p>
    <w:p w14:paraId="34514391" w14:textId="77777777" w:rsidR="00431024" w:rsidRDefault="00431024">
      <w:pPr>
        <w:pStyle w:val="p"/>
      </w:pPr>
      <w:r>
        <w:rPr>
          <w:sz w:val="24"/>
          <w:szCs w:val="24"/>
        </w:rPr>
        <w:lastRenderedPageBreak/>
        <w:br/>
      </w:r>
      <w:r>
        <w:rPr>
          <w:b/>
          <w:bCs/>
        </w:rPr>
        <w:t xml:space="preserve">1.5. Automatic Exchange of Information </w:t>
      </w:r>
      <w:r>
        <w:rPr>
          <w:b/>
          <w:bCs/>
        </w:rPr>
        <w:br/>
      </w:r>
      <w:r>
        <w:t>Uganda ratified the Convention on Mutual Administrative Assistance in tax matters ("MAAC"). The MAAC came into force in Uganda on September 1, 2016 and permits the URA to request information about taxpayer operations in other signatory countries to facilitate audits and investigations, with the aim of combating transfer pricing schemes, base erosion and profit shifting by multinationals, as well as trade-based money laundering.</w:t>
      </w:r>
    </w:p>
    <w:p w14:paraId="2C99E5D3" w14:textId="77777777" w:rsidR="00431024" w:rsidRDefault="00431024">
      <w:pPr>
        <w:pStyle w:val="p"/>
      </w:pPr>
      <w:r>
        <w:t xml:space="preserve">Uganda has </w:t>
      </w:r>
      <w:r w:rsidR="00C50788">
        <w:t>ratified</w:t>
      </w:r>
      <w:r>
        <w:t xml:space="preserve"> the Multilateral Competent Authority Agreement on Automatic Exchange of Information on Financial Accounts (CRS-MCAA) and committed to have the first information exchange by September 2023.</w:t>
      </w:r>
    </w:p>
    <w:p w14:paraId="27128DF5" w14:textId="77777777" w:rsidR="00431024" w:rsidRDefault="00431024">
      <w:pPr>
        <w:pStyle w:val="p"/>
      </w:pPr>
      <w:r>
        <w:t xml:space="preserve">For treaty information, including the number of agreements signed or in force, original treaty texts, translations, and consolidations, see the </w:t>
      </w:r>
      <w:hyperlink r:id="rId14" w:history="1">
        <w:r w:rsidRPr="007568F3">
          <w:rPr>
            <w:rStyle w:val="Hyperlink"/>
          </w:rPr>
          <w:t>International Tax Treaties Collection</w:t>
        </w:r>
      </w:hyperlink>
      <w:r>
        <w:t>.</w:t>
      </w:r>
    </w:p>
    <w:p w14:paraId="0DDCB7FA" w14:textId="77777777" w:rsidR="00431024" w:rsidRDefault="00431024">
      <w:pPr>
        <w:pStyle w:val="p"/>
      </w:pPr>
      <w:r>
        <w:rPr>
          <w:sz w:val="24"/>
          <w:szCs w:val="24"/>
        </w:rPr>
        <w:br/>
      </w:r>
      <w:r>
        <w:rPr>
          <w:b/>
          <w:bCs/>
        </w:rPr>
        <w:t xml:space="preserve">2. Corporate Tax Computation and Administration </w:t>
      </w:r>
      <w:r>
        <w:rPr>
          <w:b/>
          <w:bCs/>
        </w:rPr>
        <w:br/>
      </w:r>
      <w:r>
        <w:rPr>
          <w:b/>
          <w:bCs/>
        </w:rPr>
        <w:br/>
        <w:t xml:space="preserve">2.1. Residence, Taxable Status, Entity Characterization </w:t>
      </w:r>
      <w:r>
        <w:rPr>
          <w:b/>
          <w:bCs/>
        </w:rPr>
        <w:br/>
      </w:r>
      <w:r>
        <w:rPr>
          <w:b/>
          <w:bCs/>
        </w:rPr>
        <w:br/>
        <w:t xml:space="preserve">2.1.1. Residence </w:t>
      </w:r>
      <w:r>
        <w:rPr>
          <w:b/>
          <w:bCs/>
        </w:rPr>
        <w:br/>
      </w:r>
      <w:r>
        <w:t>Section 10 of the ITA states that:</w:t>
      </w:r>
    </w:p>
    <w:p w14:paraId="678AA3FC" w14:textId="77777777" w:rsidR="00431024" w:rsidRDefault="00431024">
      <w:pPr>
        <w:pStyle w:val="p"/>
      </w:pPr>
      <w:r>
        <w:t xml:space="preserve">A company is resident in Uganda for a year of income if it: </w:t>
      </w:r>
    </w:p>
    <w:p w14:paraId="4CC1D88B" w14:textId="77777777" w:rsidR="00431024" w:rsidRDefault="003931E2">
      <w:pPr>
        <w:pStyle w:val="p"/>
      </w:pPr>
      <w:r w:rsidRPr="00D7377F">
        <w:rPr>
          <w:noProof/>
        </w:rPr>
        <w:drawing>
          <wp:inline distT="0" distB="0" distL="0" distR="0" wp14:anchorId="7DEC5A9F" wp14:editId="6F5D7C98">
            <wp:extent cx="89535" cy="89535"/>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is incorporated or formed under Ugandan law;</w:t>
      </w:r>
    </w:p>
    <w:p w14:paraId="439D347F" w14:textId="77777777" w:rsidR="00431024" w:rsidRDefault="003931E2">
      <w:pPr>
        <w:pStyle w:val="p"/>
      </w:pPr>
      <w:r w:rsidRPr="00D7377F">
        <w:rPr>
          <w:noProof/>
        </w:rPr>
        <w:drawing>
          <wp:inline distT="0" distB="0" distL="0" distR="0" wp14:anchorId="7081D6B7" wp14:editId="4017224B">
            <wp:extent cx="89535" cy="89535"/>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has its management and control exercised in Uganda at any time during the year of income; or</w:t>
      </w:r>
    </w:p>
    <w:p w14:paraId="00F3CA7A" w14:textId="77777777" w:rsidR="00431024" w:rsidRDefault="003931E2">
      <w:pPr>
        <w:pStyle w:val="p"/>
      </w:pPr>
      <w:r w:rsidRPr="00D7377F">
        <w:rPr>
          <w:noProof/>
        </w:rPr>
        <w:drawing>
          <wp:inline distT="0" distB="0" distL="0" distR="0" wp14:anchorId="528B5BCE" wp14:editId="474DCF64">
            <wp:extent cx="89535" cy="89535"/>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undertakes the majority of its operations in Uganda during a year of income.</w:t>
      </w:r>
    </w:p>
    <w:p w14:paraId="23AB51BC" w14:textId="77777777" w:rsidR="00431024" w:rsidRDefault="00431024">
      <w:pPr>
        <w:rPr>
          <w:sz w:val="24"/>
          <w:szCs w:val="24"/>
        </w:rPr>
      </w:pPr>
    </w:p>
    <w:p w14:paraId="7E6B619A" w14:textId="77777777" w:rsidR="00431024" w:rsidRDefault="00431024">
      <w:pPr>
        <w:pStyle w:val="p"/>
      </w:pPr>
      <w:r>
        <w:t>In general, the location where the board regularly meets and makes decisions is an important factor in determining whether the management and control of the company is exercised in Uganda.</w:t>
      </w:r>
    </w:p>
    <w:p w14:paraId="788C4126" w14:textId="77777777" w:rsidR="00431024" w:rsidRDefault="00431024">
      <w:pPr>
        <w:pStyle w:val="p"/>
      </w:pPr>
      <w:r>
        <w:rPr>
          <w:sz w:val="24"/>
          <w:szCs w:val="24"/>
        </w:rPr>
        <w:br/>
      </w:r>
      <w:r>
        <w:rPr>
          <w:b/>
          <w:bCs/>
        </w:rPr>
        <w:t xml:space="preserve">2.1.2. Taxable Status </w:t>
      </w:r>
      <w:r>
        <w:rPr>
          <w:b/>
          <w:bCs/>
        </w:rPr>
        <w:br/>
      </w:r>
      <w:r>
        <w:t>In Uganda, resident companies are subject to income tax on their worldwide income unless the income is specifically exempt under section 21 of the ITA.</w:t>
      </w:r>
    </w:p>
    <w:p w14:paraId="37AC3C20" w14:textId="77777777" w:rsidR="00C85659" w:rsidRPr="00C85659" w:rsidRDefault="00431024" w:rsidP="00C85659">
      <w:pPr>
        <w:pStyle w:val="p"/>
      </w:pPr>
      <w:r>
        <w:rPr>
          <w:sz w:val="24"/>
          <w:szCs w:val="24"/>
        </w:rPr>
        <w:br/>
      </w:r>
      <w:r>
        <w:rPr>
          <w:b/>
          <w:bCs/>
        </w:rPr>
        <w:t xml:space="preserve">2.1.3. Legal Classification of Nonresident Entities </w:t>
      </w:r>
      <w:r>
        <w:rPr>
          <w:b/>
          <w:bCs/>
        </w:rPr>
        <w:br/>
      </w:r>
      <w:r w:rsidRPr="007568F3">
        <w:t xml:space="preserve">Nonresident </w:t>
      </w:r>
      <w:r w:rsidR="000F1D09" w:rsidRPr="007568F3">
        <w:t>entities</w:t>
      </w:r>
      <w:r w:rsidRPr="007568F3">
        <w:t xml:space="preserve"> are </w:t>
      </w:r>
      <w:r w:rsidR="000F1D09" w:rsidRPr="007568F3">
        <w:t xml:space="preserve">those that </w:t>
      </w:r>
      <w:r w:rsidRPr="007568F3">
        <w:t xml:space="preserve">do not meet the criteria in </w:t>
      </w:r>
      <w:r w:rsidR="005B1F31" w:rsidRPr="005B1F31">
        <w:rPr>
          <w:highlight w:val="yellow"/>
        </w:rPr>
        <w:t>[2.1.1]Section 2.1.1[end]</w:t>
      </w:r>
      <w:r w:rsidRPr="007568F3">
        <w:t>.</w:t>
      </w:r>
      <w:r>
        <w:t xml:space="preserve"> </w:t>
      </w:r>
      <w:r w:rsidR="00C85659" w:rsidRPr="00C85659">
        <w:t xml:space="preserve">Notwithstanding that they are unincorporated parts of companies, Ugandan branches of nonresident entities assume resident status under S.10 (a) of the ITA, since they meet the test of being </w:t>
      </w:r>
      <w:r w:rsidR="00C85659" w:rsidRPr="007568F3">
        <w:t>"</w:t>
      </w:r>
      <w:r w:rsidR="00C85659" w:rsidRPr="00C85659">
        <w:rPr>
          <w:i/>
          <w:iCs/>
        </w:rPr>
        <w:t>formed under the laws of Uganda.</w:t>
      </w:r>
      <w:r w:rsidR="00C85659" w:rsidRPr="007568F3">
        <w:t>"</w:t>
      </w:r>
    </w:p>
    <w:p w14:paraId="658B7210" w14:textId="77777777" w:rsidR="00431024" w:rsidRDefault="00431024">
      <w:pPr>
        <w:pStyle w:val="p"/>
      </w:pPr>
    </w:p>
    <w:p w14:paraId="31A3B2DE" w14:textId="77777777" w:rsidR="00431024" w:rsidRDefault="00431024">
      <w:pPr>
        <w:pStyle w:val="p"/>
      </w:pPr>
      <w:r>
        <w:rPr>
          <w:sz w:val="24"/>
          <w:szCs w:val="24"/>
        </w:rPr>
        <w:br/>
      </w:r>
      <w:r>
        <w:rPr>
          <w:b/>
          <w:bCs/>
        </w:rPr>
        <w:t xml:space="preserve">2.2. Corporate Tax Base </w:t>
      </w:r>
      <w:r>
        <w:rPr>
          <w:b/>
          <w:bCs/>
        </w:rPr>
        <w:br/>
      </w:r>
      <w:r>
        <w:rPr>
          <w:b/>
          <w:bCs/>
        </w:rPr>
        <w:br/>
        <w:t xml:space="preserve">2.2.1. Resident Corporations </w:t>
      </w:r>
      <w:r>
        <w:rPr>
          <w:b/>
          <w:bCs/>
        </w:rPr>
        <w:br/>
      </w:r>
      <w:r>
        <w:t>In Uganda, a resident company is subject to tax on its worldwide income unless specifically exempt under section 21 of the ITA.</w:t>
      </w:r>
      <w:r w:rsidRPr="0030192A">
        <w:rPr>
          <w:rStyle w:val="FootnoteReference"/>
        </w:rPr>
        <w:footnoteReference w:customMarkFollows="1" w:id="5"/>
        <w:t>5</w:t>
      </w:r>
    </w:p>
    <w:p w14:paraId="7011CD6E" w14:textId="77777777" w:rsidR="00431024" w:rsidRDefault="00431024">
      <w:pPr>
        <w:pStyle w:val="p"/>
      </w:pPr>
      <w:r>
        <w:t>The types of income that fall within the scope of income tax include business (including capital gains) and property income (including dividends, interest, annuities, natural resource payments, rents, royalties, and other payments derived from the provision, use or exploitation of property).</w:t>
      </w:r>
      <w:r w:rsidRPr="0030192A">
        <w:rPr>
          <w:rStyle w:val="FootnoteReference"/>
        </w:rPr>
        <w:footnoteReference w:customMarkFollows="1" w:id="6"/>
        <w:t>6</w:t>
      </w:r>
    </w:p>
    <w:p w14:paraId="7602EC8B" w14:textId="77777777" w:rsidR="00431024" w:rsidRDefault="00431024">
      <w:pPr>
        <w:pStyle w:val="p"/>
      </w:pPr>
      <w:r>
        <w:rPr>
          <w:sz w:val="24"/>
          <w:szCs w:val="24"/>
        </w:rPr>
        <w:lastRenderedPageBreak/>
        <w:br/>
      </w:r>
      <w:r>
        <w:rPr>
          <w:b/>
          <w:bCs/>
        </w:rPr>
        <w:t xml:space="preserve">2.2.2. Nonresident Corporations </w:t>
      </w:r>
      <w:r>
        <w:rPr>
          <w:b/>
          <w:bCs/>
        </w:rPr>
        <w:br/>
      </w:r>
      <w:r>
        <w:t>Nonresident corporations are taxed in Uganda on the income that arises in or is derived from a source in Uganda.</w:t>
      </w:r>
      <w:r w:rsidRPr="0030192A">
        <w:rPr>
          <w:rStyle w:val="FootnoteReference"/>
        </w:rPr>
        <w:footnoteReference w:customMarkFollows="1" w:id="7"/>
        <w:t>7</w:t>
      </w:r>
      <w:r>
        <w:t xml:space="preserve"> Payments that have a source in Uganda are comprehensively defined in section 79 of the ITA.</w:t>
      </w:r>
    </w:p>
    <w:p w14:paraId="69398CCD" w14:textId="77777777" w:rsidR="00431024" w:rsidRDefault="00431024">
      <w:pPr>
        <w:pStyle w:val="p"/>
      </w:pPr>
      <w:r>
        <w:rPr>
          <w:sz w:val="24"/>
          <w:szCs w:val="24"/>
        </w:rPr>
        <w:br/>
      </w:r>
      <w:r>
        <w:rPr>
          <w:b/>
          <w:bCs/>
        </w:rPr>
        <w:t xml:space="preserve">2.2.3. Non-Corporate Business Entities </w:t>
      </w:r>
      <w:r>
        <w:rPr>
          <w:b/>
          <w:bCs/>
        </w:rPr>
        <w:br/>
      </w:r>
      <w:r>
        <w:rPr>
          <w:b/>
          <w:bCs/>
        </w:rPr>
        <w:br/>
        <w:t xml:space="preserve">2.2.3.1. Recognition </w:t>
      </w:r>
      <w:r>
        <w:rPr>
          <w:b/>
          <w:bCs/>
        </w:rPr>
        <w:br/>
      </w:r>
      <w:r>
        <w:t>Ugandan law recognizes partnerships</w:t>
      </w:r>
      <w:r w:rsidR="004D01D7">
        <w:t xml:space="preserve">, including </w:t>
      </w:r>
      <w:r w:rsidR="004D01D7" w:rsidRPr="004D01D7">
        <w:t>equity or partnership financing under Islamic financial business</w:t>
      </w:r>
      <w:r w:rsidR="004D01D7">
        <w:t>,</w:t>
      </w:r>
      <w:r>
        <w:t xml:space="preserve"> and trusts. </w:t>
      </w:r>
      <w:r w:rsidRPr="0013546A">
        <w:t>The opportunity to form and/or establish these types of business entities is also open to nonresidents.</w:t>
      </w:r>
      <w:r w:rsidR="0013546A">
        <w:t xml:space="preserve"> The nature of operation of a trust or partnership determines whether it is identified as resident or nonresident per Sections 11 and 12 of the ITA</w:t>
      </w:r>
      <w:r w:rsidR="006C16C4">
        <w:t>,</w:t>
      </w:r>
      <w:r w:rsidR="0013546A">
        <w:t xml:space="preserve"> respectively. </w:t>
      </w:r>
    </w:p>
    <w:p w14:paraId="5FDB7B7F" w14:textId="77777777" w:rsidR="00431024" w:rsidRDefault="00431024">
      <w:pPr>
        <w:pStyle w:val="p"/>
      </w:pPr>
      <w:r>
        <w:rPr>
          <w:sz w:val="24"/>
          <w:szCs w:val="24"/>
        </w:rPr>
        <w:br/>
      </w:r>
      <w:r>
        <w:rPr>
          <w:b/>
          <w:bCs/>
        </w:rPr>
        <w:t xml:space="preserve">2.2.3.2. Tax Status </w:t>
      </w:r>
      <w:r>
        <w:rPr>
          <w:b/>
          <w:bCs/>
        </w:rPr>
        <w:br/>
      </w:r>
      <w:r>
        <w:t>Partnerships are expressly excluded from the definition of company.</w:t>
      </w:r>
    </w:p>
    <w:p w14:paraId="021DADFA" w14:textId="77777777" w:rsidR="00431024" w:rsidRDefault="00431024">
      <w:pPr>
        <w:pStyle w:val="p"/>
      </w:pPr>
      <w:r>
        <w:t>Partnerships are required to file a partnership return, but the partnership is not liable to pay income tax with respect to its taxable income; the partners pay tax on their allocated share of the partnership income.</w:t>
      </w:r>
      <w:r w:rsidRPr="0030192A">
        <w:rPr>
          <w:rStyle w:val="FootnoteReference"/>
        </w:rPr>
        <w:footnoteReference w:customMarkFollows="1" w:id="8"/>
        <w:t>8</w:t>
      </w:r>
    </w:p>
    <w:p w14:paraId="47A80671" w14:textId="77777777" w:rsidR="00431024" w:rsidRDefault="00431024">
      <w:pPr>
        <w:pStyle w:val="p"/>
      </w:pPr>
      <w:r>
        <w:t>As in the case of partnerships, a trust is required to file a trust return of income, but the income of a trust is taxed either to the trustee or to the beneficiaries of the trust.</w:t>
      </w:r>
      <w:r w:rsidRPr="0030192A">
        <w:rPr>
          <w:rStyle w:val="FootnoteReference"/>
        </w:rPr>
        <w:footnoteReference w:customMarkFollows="1" w:id="9"/>
        <w:t>9</w:t>
      </w:r>
      <w:r>
        <w:t xml:space="preserve"> Where a trustee has paid tax on the chargeable trust income of the trust, that income is not taxed again in the hands of the beneficiary.</w:t>
      </w:r>
      <w:r>
        <w:rPr>
          <w:vertAlign w:val="superscript"/>
        </w:rPr>
        <w:t>1</w:t>
      </w:r>
      <w:r w:rsidRPr="0030192A">
        <w:rPr>
          <w:rStyle w:val="FootnoteReference"/>
        </w:rPr>
        <w:footnoteReference w:customMarkFollows="1" w:id="10"/>
        <w:t>0</w:t>
      </w:r>
    </w:p>
    <w:p w14:paraId="140C06DB" w14:textId="77777777" w:rsidR="00431024" w:rsidRDefault="00431024">
      <w:pPr>
        <w:pStyle w:val="p"/>
      </w:pPr>
      <w:r>
        <w:rPr>
          <w:sz w:val="24"/>
          <w:szCs w:val="24"/>
        </w:rPr>
        <w:br/>
      </w:r>
      <w:r>
        <w:rPr>
          <w:b/>
          <w:bCs/>
        </w:rPr>
        <w:t xml:space="preserve">2.2.4. Permanent Establishments </w:t>
      </w:r>
      <w:r>
        <w:rPr>
          <w:b/>
          <w:bCs/>
        </w:rPr>
        <w:br/>
      </w:r>
      <w:r>
        <w:rPr>
          <w:b/>
          <w:bCs/>
        </w:rPr>
        <w:br/>
        <w:t xml:space="preserve">2.2.4.1. Domestic Law Definition </w:t>
      </w:r>
      <w:r>
        <w:rPr>
          <w:b/>
          <w:bCs/>
        </w:rPr>
        <w:br/>
      </w:r>
      <w:r>
        <w:t>The term permanent establishment (PE) is not defined in the ITA, but it is equivalent to the Ugandan concept of a "branch." A branch means a place where a person carries on business</w:t>
      </w:r>
      <w:r w:rsidR="00590287">
        <w:t>,</w:t>
      </w:r>
      <w:r w:rsidR="004D01D7">
        <w:t xml:space="preserve"> other than</w:t>
      </w:r>
      <w:r w:rsidR="004D01D7" w:rsidRPr="004D01D7">
        <w:rPr>
          <w:rFonts w:ascii="Arial" w:hAnsi="Arial" w:cs="Arial"/>
          <w:color w:val="333333"/>
          <w:sz w:val="23"/>
          <w:szCs w:val="23"/>
          <w:shd w:val="clear" w:color="auto" w:fill="FFFFFF"/>
        </w:rPr>
        <w:t xml:space="preserve"> </w:t>
      </w:r>
      <w:r w:rsidR="004D01D7">
        <w:t>investing</w:t>
      </w:r>
      <w:r w:rsidR="004D01D7" w:rsidRPr="004D01D7">
        <w:t xml:space="preserve"> in Islamic financial businesses where there is an equity or partnership agreement</w:t>
      </w:r>
      <w:r w:rsidR="004D01D7">
        <w:t>,</w:t>
      </w:r>
      <w:r w:rsidR="00590287">
        <w:t xml:space="preserve"> </w:t>
      </w:r>
      <w:r>
        <w:t xml:space="preserve">and includes: </w:t>
      </w:r>
    </w:p>
    <w:p w14:paraId="2C6FB5F5" w14:textId="77777777" w:rsidR="00431024" w:rsidRDefault="003931E2">
      <w:pPr>
        <w:pStyle w:val="p"/>
      </w:pPr>
      <w:r w:rsidRPr="00D7377F">
        <w:rPr>
          <w:noProof/>
        </w:rPr>
        <w:drawing>
          <wp:inline distT="0" distB="0" distL="0" distR="0" wp14:anchorId="0F1A1C34" wp14:editId="77B8A771">
            <wp:extent cx="89535" cy="89535"/>
            <wp:effectExtent l="0" t="0" r="0"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a place where a person carries on business through a dependent agent;</w:t>
      </w:r>
    </w:p>
    <w:p w14:paraId="54A44CE6" w14:textId="77777777" w:rsidR="00431024" w:rsidRDefault="003931E2">
      <w:pPr>
        <w:pStyle w:val="p"/>
      </w:pPr>
      <w:r w:rsidRPr="00D7377F">
        <w:rPr>
          <w:noProof/>
        </w:rPr>
        <w:drawing>
          <wp:inline distT="0" distB="0" distL="0" distR="0" wp14:anchorId="01FC8EDE" wp14:editId="51019504">
            <wp:extent cx="89535" cy="89535"/>
            <wp:effectExtent l="0" t="0" r="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a place where a person has, uses or installs substantial machinery or equipment for 90 days or more;</w:t>
      </w:r>
    </w:p>
    <w:p w14:paraId="3E26E5AD" w14:textId="77777777" w:rsidR="00431024" w:rsidRDefault="003931E2">
      <w:pPr>
        <w:pStyle w:val="p"/>
      </w:pPr>
      <w:r w:rsidRPr="00D7377F">
        <w:rPr>
          <w:noProof/>
        </w:rPr>
        <w:drawing>
          <wp:inline distT="0" distB="0" distL="0" distR="0" wp14:anchorId="44BEA767" wp14:editId="6128E8F1">
            <wp:extent cx="89535" cy="89535"/>
            <wp:effectExtent l="0" t="0" r="0" b="0"/>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a place where a person is engaged in construction, assembly or installation projects for 90 days or more, including the place where the supervisory activities for that project are carried on; or</w:t>
      </w:r>
    </w:p>
    <w:p w14:paraId="7545FAAE" w14:textId="77777777" w:rsidR="00431024" w:rsidRDefault="003931E2">
      <w:pPr>
        <w:pStyle w:val="p"/>
      </w:pPr>
      <w:r w:rsidRPr="00D7377F">
        <w:rPr>
          <w:noProof/>
        </w:rPr>
        <w:drawing>
          <wp:inline distT="0" distB="0" distL="0" distR="0" wp14:anchorId="797D4D2C" wp14:editId="57069934">
            <wp:extent cx="89535" cy="89535"/>
            <wp:effectExtent l="0" t="0" r="0"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the provision of services, including consultancy services, by a person through employees or consultants and those services continue for the same or a connected project for a period or periods of more than 90 days within any 12-month period.</w:t>
      </w:r>
      <w:r w:rsidR="00431024">
        <w:rPr>
          <w:vertAlign w:val="superscript"/>
        </w:rPr>
        <w:t>1</w:t>
      </w:r>
      <w:r w:rsidR="00431024" w:rsidRPr="0030192A">
        <w:rPr>
          <w:rStyle w:val="FootnoteReference"/>
        </w:rPr>
        <w:footnoteReference w:customMarkFollows="1" w:id="11"/>
        <w:t>1</w:t>
      </w:r>
    </w:p>
    <w:p w14:paraId="18AEE770" w14:textId="77777777" w:rsidR="00431024" w:rsidRDefault="00431024">
      <w:pPr>
        <w:rPr>
          <w:sz w:val="24"/>
          <w:szCs w:val="24"/>
        </w:rPr>
      </w:pPr>
    </w:p>
    <w:p w14:paraId="08F181D7" w14:textId="77777777" w:rsidR="00431024" w:rsidRDefault="00431024">
      <w:pPr>
        <w:pStyle w:val="p"/>
      </w:pPr>
      <w:r>
        <w:rPr>
          <w:sz w:val="24"/>
          <w:szCs w:val="24"/>
        </w:rPr>
        <w:br/>
      </w:r>
      <w:r>
        <w:rPr>
          <w:b/>
          <w:bCs/>
        </w:rPr>
        <w:t xml:space="preserve">2.2.4.2. Treaty Definition </w:t>
      </w:r>
      <w:r>
        <w:rPr>
          <w:b/>
          <w:bCs/>
        </w:rPr>
        <w:br/>
      </w:r>
      <w:r>
        <w:t xml:space="preserve">Ugandan tax treaties are generally based on the OECD Model Treaty </w:t>
      </w:r>
      <w:r w:rsidR="000F1D09">
        <w:t xml:space="preserve">and </w:t>
      </w:r>
      <w:r>
        <w:t>define a "permanent establishment" as a fixed place of business through which the business of an enterprise is wholly or partly carried on.</w:t>
      </w:r>
    </w:p>
    <w:p w14:paraId="340ED9E4" w14:textId="77777777" w:rsidR="00431024" w:rsidRDefault="00431024">
      <w:pPr>
        <w:pStyle w:val="p"/>
      </w:pPr>
      <w:r>
        <w:rPr>
          <w:sz w:val="24"/>
          <w:szCs w:val="24"/>
        </w:rPr>
        <w:br/>
      </w:r>
      <w:r>
        <w:rPr>
          <w:b/>
          <w:bCs/>
        </w:rPr>
        <w:t xml:space="preserve">2.2.4.3. Creation via Performance of Services </w:t>
      </w:r>
      <w:r>
        <w:rPr>
          <w:b/>
          <w:bCs/>
        </w:rPr>
        <w:br/>
      </w:r>
      <w:r>
        <w:t>Under Uganda's domestic law, the performance of services can give rise to a branch</w:t>
      </w:r>
      <w:r w:rsidR="005B06CF">
        <w:t>, which is a PE,</w:t>
      </w:r>
      <w:r>
        <w:t xml:space="preserve"> (see </w:t>
      </w:r>
      <w:r w:rsidR="005B1F31" w:rsidRPr="005B1F31">
        <w:rPr>
          <w:highlight w:val="yellow"/>
        </w:rPr>
        <w:t>[2.2.4.1]Section 2.2.4.1[end]</w:t>
      </w:r>
      <w:r>
        <w:t>).</w:t>
      </w:r>
      <w:r>
        <w:rPr>
          <w:vertAlign w:val="superscript"/>
        </w:rPr>
        <w:t>1</w:t>
      </w:r>
      <w:r w:rsidRPr="0030192A">
        <w:rPr>
          <w:rStyle w:val="FootnoteReference"/>
        </w:rPr>
        <w:footnoteReference w:customMarkFollows="1" w:id="12"/>
        <w:t>2</w:t>
      </w:r>
      <w:r>
        <w:t xml:space="preserve"> Additionally, some of Uganda's tax treaties contain a PE clause stating that performance of services can give rise to a PE. For example, Uganda's treaties with Mauritius and the Netherlands state that a PE encompasses the furnishing of services, including consultancy services by an enterprise of a contracting state through employees or other personnel engaged in the other contracting state, provided that such activities continue for the same or a connected project for a period or periods aggregating more than four months within any 12-month period.</w:t>
      </w:r>
    </w:p>
    <w:p w14:paraId="38C9CFED" w14:textId="77777777" w:rsidR="00431024" w:rsidRDefault="00431024">
      <w:pPr>
        <w:pStyle w:val="p"/>
      </w:pPr>
      <w:r>
        <w:rPr>
          <w:sz w:val="24"/>
          <w:szCs w:val="24"/>
        </w:rPr>
        <w:br/>
      </w:r>
      <w:r>
        <w:rPr>
          <w:b/>
          <w:bCs/>
        </w:rPr>
        <w:t xml:space="preserve">2.2.4.4. Creation via Customer Downloads or Website Access </w:t>
      </w:r>
      <w:r>
        <w:rPr>
          <w:b/>
          <w:bCs/>
        </w:rPr>
        <w:br/>
      </w:r>
      <w:r>
        <w:t>The ITA does not address whether accessing websites, downloading information or any other use of the internet by local Ugandan customers can give rise to a Ugandan branch. However, customer downloads can be taxed as royalty payments under the ITA since the term royalty is defined to include the use of or right to use any motion picture film; any video or audio or material, whether stored on film, tape or other medium, for use in connection with television or radio broadcasting; and the imparting of any scientific, technical, industrial or commercial knowledge or information.</w:t>
      </w:r>
      <w:r>
        <w:rPr>
          <w:vertAlign w:val="superscript"/>
        </w:rPr>
        <w:t>1</w:t>
      </w:r>
      <w:r w:rsidRPr="0030192A">
        <w:rPr>
          <w:rStyle w:val="FootnoteReference"/>
        </w:rPr>
        <w:footnoteReference w:customMarkFollows="1" w:id="13"/>
        <w:t>3</w:t>
      </w:r>
    </w:p>
    <w:p w14:paraId="313A979B" w14:textId="77777777" w:rsidR="00431024" w:rsidRDefault="00431024">
      <w:pPr>
        <w:pStyle w:val="p"/>
      </w:pPr>
      <w:r>
        <w:rPr>
          <w:sz w:val="24"/>
          <w:szCs w:val="24"/>
        </w:rPr>
        <w:br/>
      </w:r>
      <w:r>
        <w:rPr>
          <w:b/>
          <w:bCs/>
        </w:rPr>
        <w:t xml:space="preserve">2.2.4.5. Creation via Cloud Services </w:t>
      </w:r>
      <w:r>
        <w:rPr>
          <w:b/>
          <w:bCs/>
        </w:rPr>
        <w:br/>
      </w:r>
      <w:r>
        <w:t xml:space="preserve">The ITA does not address whether the provision of cloud computing services by a nonresident to a local Ugandan customer can give rise to a Ugandan branch. However, </w:t>
      </w:r>
      <w:r w:rsidRPr="00C31276">
        <w:t xml:space="preserve">digital services </w:t>
      </w:r>
      <w:r w:rsidR="00C31276">
        <w:t>may</w:t>
      </w:r>
      <w:r w:rsidRPr="00C31276">
        <w:t xml:space="preserve"> be taxed</w:t>
      </w:r>
      <w:r>
        <w:t xml:space="preserve"> as royalty payments under the ITA since the term royalty is defined to include the use or the receipt or right to receive any video or audio material transmitted by satellite, cable, optic fiber or similar technology for use in connection with the internet.</w:t>
      </w:r>
    </w:p>
    <w:p w14:paraId="2FD6ED5A" w14:textId="77777777" w:rsidR="00431024" w:rsidRDefault="00431024">
      <w:pPr>
        <w:pStyle w:val="p"/>
      </w:pPr>
      <w:r>
        <w:rPr>
          <w:sz w:val="24"/>
          <w:szCs w:val="24"/>
        </w:rPr>
        <w:br/>
      </w:r>
      <w:r>
        <w:rPr>
          <w:b/>
          <w:bCs/>
        </w:rPr>
        <w:t xml:space="preserve">2.3. Taxable Year </w:t>
      </w:r>
      <w:r>
        <w:rPr>
          <w:b/>
          <w:bCs/>
        </w:rPr>
        <w:br/>
      </w:r>
      <w:r>
        <w:rPr>
          <w:b/>
          <w:bCs/>
        </w:rPr>
        <w:br/>
        <w:t xml:space="preserve">2.3.1. Default Taxable Year </w:t>
      </w:r>
      <w:r>
        <w:rPr>
          <w:b/>
          <w:bCs/>
        </w:rPr>
        <w:br/>
      </w:r>
      <w:r>
        <w:t>Uganda refers to the year in which income is subject to taxation as a "year of income."</w:t>
      </w:r>
      <w:r>
        <w:rPr>
          <w:vertAlign w:val="superscript"/>
        </w:rPr>
        <w:t>1</w:t>
      </w:r>
      <w:r w:rsidRPr="0030192A">
        <w:rPr>
          <w:rStyle w:val="FootnoteReference"/>
        </w:rPr>
        <w:footnoteReference w:customMarkFollows="1" w:id="14"/>
        <w:t>4</w:t>
      </w:r>
    </w:p>
    <w:p w14:paraId="635C5994" w14:textId="77777777" w:rsidR="00431024" w:rsidRDefault="00431024">
      <w:pPr>
        <w:pStyle w:val="p"/>
      </w:pPr>
      <w:r>
        <w:t>The default year of income in Uganda means the period of 12 months starting on July 1 and ending on June 30.</w:t>
      </w:r>
      <w:r>
        <w:rPr>
          <w:vertAlign w:val="superscript"/>
        </w:rPr>
        <w:t>1</w:t>
      </w:r>
      <w:r w:rsidRPr="0030192A">
        <w:rPr>
          <w:rStyle w:val="FootnoteReference"/>
        </w:rPr>
        <w:footnoteReference w:customMarkFollows="1" w:id="15"/>
        <w:t>5</w:t>
      </w:r>
    </w:p>
    <w:p w14:paraId="68E57255" w14:textId="77777777" w:rsidR="00431024" w:rsidRDefault="00431024">
      <w:pPr>
        <w:pStyle w:val="p"/>
      </w:pPr>
      <w:r>
        <w:t>A taxpayer can submit a written application to the Commissioner requesting a substituted year of income ending on a day other than June 30. However, the taxpayer must demonstrate that there is a compelling need for the substituted year of income in order for the Commissioner to approve the application.</w:t>
      </w:r>
      <w:r>
        <w:rPr>
          <w:vertAlign w:val="superscript"/>
        </w:rPr>
        <w:t>1</w:t>
      </w:r>
      <w:r w:rsidRPr="0030192A">
        <w:rPr>
          <w:rStyle w:val="FootnoteReference"/>
        </w:rPr>
        <w:footnoteReference w:customMarkFollows="1" w:id="16"/>
        <w:t>6</w:t>
      </w:r>
    </w:p>
    <w:p w14:paraId="4560127A" w14:textId="77777777" w:rsidR="00431024" w:rsidRDefault="00431024">
      <w:pPr>
        <w:pStyle w:val="p"/>
      </w:pPr>
      <w:r>
        <w:rPr>
          <w:sz w:val="24"/>
          <w:szCs w:val="24"/>
        </w:rPr>
        <w:lastRenderedPageBreak/>
        <w:br/>
      </w:r>
      <w:r>
        <w:rPr>
          <w:b/>
          <w:bCs/>
        </w:rPr>
        <w:t xml:space="preserve">2.3.2. Reference Year for Computation of Tax </w:t>
      </w:r>
      <w:r>
        <w:rPr>
          <w:b/>
          <w:bCs/>
        </w:rPr>
        <w:br/>
      </w:r>
      <w:r>
        <w:t>In a given year of income, taxpayers are subject to income tax on income earned or received within that year of income. Thus, an income tax return filed in 202</w:t>
      </w:r>
      <w:r w:rsidR="0093271B">
        <w:t>4</w:t>
      </w:r>
      <w:r>
        <w:t>, with regard to the taxpayer's liability for the year of income running from July 1, 202</w:t>
      </w:r>
      <w:r w:rsidR="0093271B">
        <w:t>3</w:t>
      </w:r>
      <w:r>
        <w:t xml:space="preserve"> to June 30, 202</w:t>
      </w:r>
      <w:r w:rsidR="0093271B">
        <w:t>4</w:t>
      </w:r>
      <w:r>
        <w:t>, will report income from the 202</w:t>
      </w:r>
      <w:r w:rsidR="0093271B">
        <w:t>3</w:t>
      </w:r>
      <w:r>
        <w:t>–202</w:t>
      </w:r>
      <w:r w:rsidR="0093271B">
        <w:t>4</w:t>
      </w:r>
      <w:r>
        <w:t xml:space="preserve"> year of income.</w:t>
      </w:r>
      <w:r>
        <w:rPr>
          <w:vertAlign w:val="superscript"/>
        </w:rPr>
        <w:t>1</w:t>
      </w:r>
      <w:r w:rsidRPr="0030192A">
        <w:rPr>
          <w:rStyle w:val="FootnoteReference"/>
        </w:rPr>
        <w:footnoteReference w:customMarkFollows="1" w:id="17"/>
        <w:t>7</w:t>
      </w:r>
    </w:p>
    <w:p w14:paraId="11B1A5DE" w14:textId="77777777" w:rsidR="0093271B" w:rsidRDefault="0093271B" w:rsidP="0093271B">
      <w:pPr>
        <w:pStyle w:val="p"/>
        <w:ind w:firstLine="0"/>
        <w:rPr>
          <w:b/>
          <w:bCs/>
        </w:rPr>
        <w:pPrChange w:id="0" w:author="Unknown" w:date="2023-09-06T14:34:00Z">
          <w:pPr>
            <w:pStyle w:val="p"/>
          </w:pPr>
        </w:pPrChange>
      </w:pPr>
      <w:r w:rsidRPr="007568F3">
        <w:t>The</w:t>
      </w:r>
      <w:r w:rsidRPr="009D45D4">
        <w:t> </w:t>
      </w:r>
      <w:r w:rsidRPr="007568F3">
        <w:t>manager of a takaful business is required to file an income tax return for each year of income no later than six months after the end of that year on behalf of the participants in each group in the takaful business</w:t>
      </w:r>
      <w:r>
        <w:t>.</w:t>
      </w:r>
      <w:r>
        <w:rPr>
          <w:rStyle w:val="FootnoteReference"/>
        </w:rPr>
        <w:footnoteReference w:id="18"/>
      </w:r>
      <w:r w:rsidR="00431024">
        <w:rPr>
          <w:sz w:val="24"/>
          <w:szCs w:val="24"/>
        </w:rPr>
        <w:br/>
      </w:r>
    </w:p>
    <w:p w14:paraId="6734FD6D" w14:textId="77777777" w:rsidR="00431024" w:rsidRDefault="00431024" w:rsidP="007568F3">
      <w:pPr>
        <w:pStyle w:val="p"/>
        <w:ind w:firstLine="0"/>
      </w:pPr>
      <w:r>
        <w:rPr>
          <w:b/>
          <w:bCs/>
        </w:rPr>
        <w:t xml:space="preserve">2.4. Computing Taxable Income </w:t>
      </w:r>
      <w:r>
        <w:rPr>
          <w:b/>
          <w:bCs/>
        </w:rPr>
        <w:br/>
      </w:r>
      <w:r>
        <w:rPr>
          <w:b/>
          <w:bCs/>
        </w:rPr>
        <w:br/>
        <w:t xml:space="preserve">2.4.1. General </w:t>
      </w:r>
      <w:r>
        <w:rPr>
          <w:b/>
          <w:bCs/>
        </w:rPr>
        <w:br/>
      </w:r>
      <w:r>
        <w:t>The taxable income of a person for the year of income is that person's gross income, being the total amount of the employment income, business income and property income, less any deductions allowed under the ITA.</w:t>
      </w:r>
      <w:r>
        <w:rPr>
          <w:vertAlign w:val="superscript"/>
        </w:rPr>
        <w:t>1</w:t>
      </w:r>
      <w:r w:rsidRPr="0030192A">
        <w:rPr>
          <w:rStyle w:val="FootnoteReference"/>
        </w:rPr>
        <w:footnoteReference w:customMarkFollows="1" w:id="19"/>
        <w:t>8</w:t>
      </w:r>
    </w:p>
    <w:p w14:paraId="76EB3F3F" w14:textId="77777777" w:rsidR="005B06CF" w:rsidRPr="005B06CF" w:rsidRDefault="005B06CF" w:rsidP="007568F3">
      <w:pPr>
        <w:pStyle w:val="p"/>
        <w:ind w:firstLine="0"/>
      </w:pPr>
      <w:r w:rsidRPr="005B06CF">
        <w:t>As a general rule, the ITA permits as a deduction:</w:t>
      </w:r>
    </w:p>
    <w:p w14:paraId="39E64F5F" w14:textId="77777777" w:rsidR="005B06CF" w:rsidRDefault="006C16C4" w:rsidP="005B06CF">
      <w:pPr>
        <w:pStyle w:val="p"/>
        <w:numPr>
          <w:ilvl w:val="0"/>
          <w:numId w:val="8"/>
        </w:numPr>
      </w:pPr>
      <w:r>
        <w:t>a</w:t>
      </w:r>
      <w:r w:rsidR="005B06CF" w:rsidRPr="005B06CF">
        <w:t xml:space="preserve">ll expenditures and losses incurred during the year of income in the production of income that is included in gross income; and </w:t>
      </w:r>
    </w:p>
    <w:p w14:paraId="537FB02D" w14:textId="77777777" w:rsidR="005B06CF" w:rsidRPr="005B06CF" w:rsidRDefault="006C16C4" w:rsidP="005B06CF">
      <w:pPr>
        <w:pStyle w:val="p"/>
        <w:numPr>
          <w:ilvl w:val="0"/>
          <w:numId w:val="8"/>
        </w:numPr>
      </w:pPr>
      <w:r>
        <w:t>t</w:t>
      </w:r>
      <w:r w:rsidR="005B06CF" w:rsidRPr="005B06CF">
        <w:t>he amount of any loss on the disposal of a business asset during the year of income, regardless of whether the asset was on revenue or capital account.</w:t>
      </w:r>
    </w:p>
    <w:p w14:paraId="64967ED2" w14:textId="77777777" w:rsidR="005B06CF" w:rsidRDefault="005B06CF" w:rsidP="0096182C">
      <w:pPr>
        <w:pStyle w:val="p"/>
        <w:ind w:firstLine="0"/>
      </w:pPr>
    </w:p>
    <w:p w14:paraId="7C8C1B46" w14:textId="77777777" w:rsidR="00431024" w:rsidRDefault="00CE752C" w:rsidP="0096182C">
      <w:pPr>
        <w:pStyle w:val="p"/>
        <w:ind w:firstLine="0"/>
      </w:pPr>
      <w:r>
        <w:t>The ITA</w:t>
      </w:r>
      <w:r w:rsidR="0096182C">
        <w:t xml:space="preserve"> </w:t>
      </w:r>
      <w:r w:rsidRPr="00CE752C">
        <w:t>lists, under sections 22 – 38, a number of expenditures and loses that are allowable deductions</w:t>
      </w:r>
      <w:r>
        <w:t xml:space="preserve"> and include meals, entertainment expenditures interest (subject to limitation), bad debts, repairs and depreciation. </w:t>
      </w:r>
    </w:p>
    <w:p w14:paraId="25FF363B" w14:textId="77777777" w:rsidR="005B06CF" w:rsidRPr="005B06CF" w:rsidRDefault="005B06CF" w:rsidP="005B06CF">
      <w:pPr>
        <w:pStyle w:val="p"/>
      </w:pPr>
      <w:r w:rsidRPr="005B06CF">
        <w:t>The ITA specifically disallows the following expenditures as deduction regardless of their business nature:</w:t>
      </w:r>
    </w:p>
    <w:p w14:paraId="4AD03B31" w14:textId="77777777" w:rsidR="005B06CF" w:rsidRDefault="005B06CF" w:rsidP="005B06CF">
      <w:pPr>
        <w:pStyle w:val="p"/>
        <w:numPr>
          <w:ilvl w:val="0"/>
          <w:numId w:val="9"/>
        </w:numPr>
      </w:pPr>
      <w:r w:rsidRPr="005B06CF">
        <w:t>Reserves in general (see section 2.4.5) and capital costs, as well as capital losses (with the exception of business assets mentioned above);</w:t>
      </w:r>
    </w:p>
    <w:p w14:paraId="317BA4C3" w14:textId="77777777" w:rsidR="005B06CF" w:rsidRPr="005B06CF" w:rsidRDefault="005B06CF" w:rsidP="005B06CF">
      <w:pPr>
        <w:pStyle w:val="p"/>
        <w:numPr>
          <w:ilvl w:val="0"/>
          <w:numId w:val="9"/>
        </w:numPr>
      </w:pPr>
      <w:r w:rsidRPr="005B06CF">
        <w:t>Amounts recoverable by insurance, private contracts, or other forms of indemnity;</w:t>
      </w:r>
    </w:p>
    <w:p w14:paraId="6F6C9E22" w14:textId="77777777" w:rsidR="005B06CF" w:rsidRPr="005B06CF" w:rsidRDefault="005B06CF" w:rsidP="005B06CF">
      <w:pPr>
        <w:pStyle w:val="p"/>
        <w:numPr>
          <w:ilvl w:val="0"/>
          <w:numId w:val="9"/>
        </w:numPr>
      </w:pPr>
      <w:r w:rsidRPr="005B06CF">
        <w:t>Income tax payable in Uganda or a foreign country;</w:t>
      </w:r>
    </w:p>
    <w:p w14:paraId="34FB81A0" w14:textId="77777777" w:rsidR="005B06CF" w:rsidRPr="005B06CF" w:rsidRDefault="005B06CF" w:rsidP="005B06CF">
      <w:pPr>
        <w:pStyle w:val="p"/>
        <w:numPr>
          <w:ilvl w:val="0"/>
          <w:numId w:val="9"/>
        </w:numPr>
      </w:pPr>
      <w:r w:rsidRPr="005B06CF">
        <w:t>Expenses of a person who purchases goods or services from a supplier required to use the e-invoicing system, unless the expenses are supported by e-invoices or e-receipts;</w:t>
      </w:r>
    </w:p>
    <w:p w14:paraId="2FA8B9F5" w14:textId="77777777" w:rsidR="005B06CF" w:rsidRPr="005B06CF" w:rsidRDefault="005B06CF" w:rsidP="005B06CF">
      <w:pPr>
        <w:pStyle w:val="p"/>
        <w:numPr>
          <w:ilvl w:val="0"/>
          <w:numId w:val="9"/>
        </w:numPr>
      </w:pPr>
      <w:r w:rsidRPr="005B06CF">
        <w:t>Any expenditure above five million shillings in one transaction for goods or services</w:t>
      </w:r>
      <w:r>
        <w:t xml:space="preserve"> </w:t>
      </w:r>
      <w:r w:rsidRPr="005B06CF">
        <w:t>from a supplier who does not have a taxpayer identification number;</w:t>
      </w:r>
    </w:p>
    <w:p w14:paraId="76F2B5E1" w14:textId="77777777" w:rsidR="005B06CF" w:rsidRPr="005B06CF" w:rsidRDefault="005B06CF" w:rsidP="005B06CF">
      <w:pPr>
        <w:pStyle w:val="p"/>
        <w:numPr>
          <w:ilvl w:val="0"/>
          <w:numId w:val="9"/>
        </w:numPr>
      </w:pPr>
      <w:r w:rsidRPr="005B06CF">
        <w:t>Fines or similar penalties paid to any government or political subdivision for breaches of law or subsidiary legislation;</w:t>
      </w:r>
    </w:p>
    <w:p w14:paraId="58387CB0" w14:textId="77777777" w:rsidR="005B06CF" w:rsidRPr="005B06CF" w:rsidRDefault="005B06CF" w:rsidP="005B06CF">
      <w:pPr>
        <w:pStyle w:val="p"/>
        <w:numPr>
          <w:ilvl w:val="0"/>
          <w:numId w:val="9"/>
        </w:numPr>
      </w:pPr>
      <w:r w:rsidRPr="005B06CF">
        <w:t xml:space="preserve">A premium or similar payment to a life insurance business for insurance on the life of the person making the payment or some other person; and </w:t>
      </w:r>
    </w:p>
    <w:p w14:paraId="0A1440D6" w14:textId="77777777" w:rsidR="005B06CF" w:rsidRPr="005B06CF" w:rsidRDefault="005B06CF" w:rsidP="005B06CF">
      <w:pPr>
        <w:pStyle w:val="p"/>
        <w:numPr>
          <w:ilvl w:val="0"/>
          <w:numId w:val="9"/>
        </w:numPr>
      </w:pPr>
      <w:r w:rsidRPr="005B06CF">
        <w:t>Gifts to an individual that are not included in the individual’s gross income.</w:t>
      </w:r>
    </w:p>
    <w:p w14:paraId="4607FD80" w14:textId="77777777" w:rsidR="005B06CF" w:rsidRPr="005B06CF" w:rsidRDefault="005B06CF" w:rsidP="007568F3">
      <w:pPr>
        <w:pStyle w:val="p"/>
        <w:ind w:left="360" w:firstLine="0"/>
      </w:pPr>
      <w:r w:rsidRPr="005B06CF">
        <w:t>And these expenses of a more personal nature:</w:t>
      </w:r>
    </w:p>
    <w:p w14:paraId="3B94F456" w14:textId="77777777" w:rsidR="005B06CF" w:rsidRPr="005B06CF" w:rsidRDefault="005B06CF" w:rsidP="005B06CF">
      <w:pPr>
        <w:pStyle w:val="p"/>
        <w:numPr>
          <w:ilvl w:val="0"/>
          <w:numId w:val="10"/>
        </w:numPr>
      </w:pPr>
      <w:r w:rsidRPr="005B06CF">
        <w:t>Actual personal or domestic expenses and losses;</w:t>
      </w:r>
    </w:p>
    <w:p w14:paraId="5C6E631A" w14:textId="77777777" w:rsidR="005B06CF" w:rsidRPr="005B06CF" w:rsidRDefault="005B06CF" w:rsidP="005B06CF">
      <w:pPr>
        <w:pStyle w:val="p"/>
        <w:numPr>
          <w:ilvl w:val="0"/>
          <w:numId w:val="10"/>
        </w:numPr>
      </w:pPr>
      <w:r w:rsidRPr="005B06CF">
        <w:lastRenderedPageBreak/>
        <w:t>A pension, alimony or allowance paid under a judicial order or written agreement of separation; and</w:t>
      </w:r>
    </w:p>
    <w:p w14:paraId="11DCD0D0" w14:textId="77777777" w:rsidR="005B06CF" w:rsidRPr="005B06CF" w:rsidRDefault="005B06CF" w:rsidP="005B06CF">
      <w:pPr>
        <w:pStyle w:val="p"/>
        <w:numPr>
          <w:ilvl w:val="0"/>
          <w:numId w:val="10"/>
        </w:numPr>
      </w:pPr>
      <w:r w:rsidRPr="005B06CF">
        <w:t>Employee contributions or similar payments to a retirement fund for the benefit of the employee or any other person.</w:t>
      </w:r>
    </w:p>
    <w:p w14:paraId="5F437269" w14:textId="77777777" w:rsidR="005B06CF" w:rsidRDefault="005B06CF" w:rsidP="007568F3">
      <w:pPr>
        <w:pStyle w:val="p"/>
        <w:ind w:firstLine="0"/>
      </w:pPr>
    </w:p>
    <w:p w14:paraId="3988FE7C" w14:textId="77777777" w:rsidR="00431024" w:rsidRDefault="00E44290" w:rsidP="007568F3">
      <w:pPr>
        <w:pStyle w:val="p"/>
        <w:ind w:firstLine="0"/>
      </w:pPr>
      <w:r>
        <w:rPr>
          <w:sz w:val="24"/>
          <w:szCs w:val="24"/>
        </w:rPr>
        <w:t>.</w:t>
      </w:r>
      <w:r w:rsidR="00431024">
        <w:rPr>
          <w:sz w:val="24"/>
          <w:szCs w:val="24"/>
        </w:rPr>
        <w:br/>
      </w:r>
      <w:r w:rsidR="00431024">
        <w:rPr>
          <w:b/>
          <w:bCs/>
        </w:rPr>
        <w:t xml:space="preserve">2.4.2. Exempt Income </w:t>
      </w:r>
      <w:r w:rsidR="00431024">
        <w:rPr>
          <w:b/>
          <w:bCs/>
        </w:rPr>
        <w:br/>
      </w:r>
      <w:r w:rsidR="00431024">
        <w:t xml:space="preserve">Section 21 of the ITA lists </w:t>
      </w:r>
      <w:r w:rsidR="00A512E6">
        <w:t xml:space="preserve">income </w:t>
      </w:r>
      <w:r w:rsidR="00431024">
        <w:t xml:space="preserve">exempt from tax, which include, but are not limited to: </w:t>
      </w:r>
    </w:p>
    <w:p w14:paraId="5797BACE" w14:textId="77777777" w:rsidR="00431024" w:rsidRDefault="00431024" w:rsidP="007568F3">
      <w:pPr>
        <w:pStyle w:val="p"/>
        <w:numPr>
          <w:ilvl w:val="0"/>
          <w:numId w:val="2"/>
        </w:numPr>
      </w:pPr>
      <w:r>
        <w:t>foreign-source income derived by a short-term resident;</w:t>
      </w:r>
    </w:p>
    <w:p w14:paraId="72E64FEB" w14:textId="77777777" w:rsidR="00431024" w:rsidRDefault="00431024" w:rsidP="007568F3">
      <w:pPr>
        <w:pStyle w:val="p"/>
        <w:numPr>
          <w:ilvl w:val="0"/>
          <w:numId w:val="2"/>
        </w:numPr>
      </w:pPr>
      <w:r>
        <w:t>a pension; and</w:t>
      </w:r>
    </w:p>
    <w:p w14:paraId="0894D778" w14:textId="77777777" w:rsidR="00431024" w:rsidRDefault="00431024" w:rsidP="007568F3">
      <w:pPr>
        <w:pStyle w:val="p"/>
        <w:numPr>
          <w:ilvl w:val="0"/>
          <w:numId w:val="2"/>
        </w:numPr>
      </w:pPr>
      <w:r>
        <w:t>any capital gain that is not included in business income, with the exception of capital gains on the sale of shares in a private limited liability company or on the sale of a commercial building.</w:t>
      </w:r>
    </w:p>
    <w:p w14:paraId="511ADC0D" w14:textId="77777777" w:rsidR="00431024" w:rsidRPr="007568F3" w:rsidRDefault="00B338BD" w:rsidP="00B338BD">
      <w:pPr>
        <w:spacing w:before="100" w:beforeAutospacing="1" w:after="100" w:afterAutospacing="1"/>
      </w:pPr>
      <w:r w:rsidRPr="007568F3">
        <w:t>Many of section 21</w:t>
      </w:r>
      <w:r w:rsidRPr="003E010F">
        <w:t>’</w:t>
      </w:r>
      <w:r w:rsidRPr="007568F3">
        <w:t>s list of exempt income items have to do with individuals, such as diplomats, technical advisors Uganda temporarily for projects, foreign source income of short-term residents, and so on.</w:t>
      </w:r>
    </w:p>
    <w:p w14:paraId="0E78C72D" w14:textId="77777777" w:rsidR="006C16C4" w:rsidRDefault="00A512E6" w:rsidP="007568F3">
      <w:pPr>
        <w:rPr>
          <w:b/>
          <w:bCs/>
        </w:rPr>
      </w:pPr>
      <w:r w:rsidRPr="007568F3">
        <w:t>Exempt organizations include not for profit religious, charitable, educational or research institutions</w:t>
      </w:r>
      <w:r w:rsidR="00B338BD">
        <w:t>, subject, however, to a provision that provides for taxation of business income unrelated to the exempt function of the organization</w:t>
      </w:r>
      <w:r w:rsidRPr="007568F3">
        <w:t>.</w:t>
      </w:r>
      <w:r w:rsidRPr="00C770C4">
        <w:rPr>
          <w:rStyle w:val="FootnoteReference"/>
        </w:rPr>
        <w:footnoteReference w:id="20"/>
      </w:r>
      <w:r w:rsidR="00431024">
        <w:rPr>
          <w:sz w:val="24"/>
          <w:szCs w:val="24"/>
        </w:rPr>
        <w:br/>
      </w:r>
    </w:p>
    <w:p w14:paraId="4A7DC4C4" w14:textId="77777777" w:rsidR="00431024" w:rsidRDefault="00431024" w:rsidP="007568F3">
      <w:r>
        <w:rPr>
          <w:b/>
          <w:bCs/>
        </w:rPr>
        <w:t xml:space="preserve">2.4.3. Inventory Valuation and Inventory Flow </w:t>
      </w:r>
      <w:r>
        <w:rPr>
          <w:b/>
          <w:bCs/>
        </w:rPr>
        <w:br/>
      </w:r>
      <w:r>
        <w:t>Under the ITA, the closing value of trading stock is the lower of cost or market value of trading stock on hand at the end of the year of income.</w:t>
      </w:r>
      <w:r>
        <w:rPr>
          <w:vertAlign w:val="superscript"/>
        </w:rPr>
        <w:t>2</w:t>
      </w:r>
      <w:r w:rsidRPr="0030192A">
        <w:rPr>
          <w:rStyle w:val="FootnoteReference"/>
        </w:rPr>
        <w:footnoteReference w:customMarkFollows="1" w:id="21"/>
        <w:t>0</w:t>
      </w:r>
    </w:p>
    <w:p w14:paraId="55F26E9D" w14:textId="77777777" w:rsidR="00431024" w:rsidRDefault="00431024">
      <w:pPr>
        <w:pStyle w:val="p"/>
      </w:pPr>
      <w:r>
        <w:t>A taxpayer using the cash basis of accounting can calculate the cost of trading stock using either the prime-cost method or absorption-cost method whereas a taxpayer using the accrual basis must use the latter.</w:t>
      </w:r>
      <w:r>
        <w:rPr>
          <w:vertAlign w:val="superscript"/>
        </w:rPr>
        <w:t>2</w:t>
      </w:r>
      <w:r w:rsidRPr="0030192A">
        <w:rPr>
          <w:rStyle w:val="FootnoteReference"/>
        </w:rPr>
        <w:footnoteReference w:customMarkFollows="1" w:id="22"/>
        <w:t>1</w:t>
      </w:r>
    </w:p>
    <w:p w14:paraId="508A6DF4" w14:textId="77777777" w:rsidR="00431024" w:rsidRDefault="00431024">
      <w:pPr>
        <w:pStyle w:val="p"/>
      </w:pPr>
      <w:r>
        <w:t>A taxpayer may account for trading stock on the first-in-first-out method or the average-cost method if particular items of the trading stock are not readily identifiable.</w:t>
      </w:r>
      <w:r>
        <w:rPr>
          <w:vertAlign w:val="superscript"/>
        </w:rPr>
        <w:t>2</w:t>
      </w:r>
      <w:r w:rsidRPr="0030192A">
        <w:rPr>
          <w:rStyle w:val="FootnoteReference"/>
        </w:rPr>
        <w:footnoteReference w:customMarkFollows="1" w:id="23"/>
        <w:t>2</w:t>
      </w:r>
    </w:p>
    <w:p w14:paraId="69A8F936" w14:textId="77777777" w:rsidR="00431024" w:rsidRDefault="00431024">
      <w:pPr>
        <w:pStyle w:val="p"/>
      </w:pPr>
      <w:r>
        <w:rPr>
          <w:sz w:val="24"/>
          <w:szCs w:val="24"/>
        </w:rPr>
        <w:br/>
      </w:r>
      <w:r w:rsidRPr="00DE63F2">
        <w:rPr>
          <w:b/>
          <w:bCs/>
        </w:rPr>
        <w:t>2.4.4. Depreciation or Capital Allowances</w:t>
      </w:r>
      <w:r>
        <w:rPr>
          <w:b/>
          <w:bCs/>
        </w:rPr>
        <w:t xml:space="preserve"> </w:t>
      </w:r>
      <w:r>
        <w:rPr>
          <w:b/>
          <w:bCs/>
        </w:rPr>
        <w:br/>
      </w:r>
      <w:r w:rsidR="00CE752C" w:rsidRPr="00CE752C">
        <w:t>Deductions allowed on capital expenditure</w:t>
      </w:r>
      <w:r w:rsidR="00CE752C">
        <w:t>s</w:t>
      </w:r>
      <w:r w:rsidR="00CE752C" w:rsidRPr="00CE752C">
        <w:t xml:space="preserve"> include the following</w:t>
      </w:r>
      <w:r>
        <w:t xml:space="preserve">: </w:t>
      </w:r>
    </w:p>
    <w:p w14:paraId="126D8914" w14:textId="77777777" w:rsidR="00431024" w:rsidRDefault="003931E2">
      <w:pPr>
        <w:pStyle w:val="p"/>
      </w:pPr>
      <w:r w:rsidRPr="00D7377F">
        <w:rPr>
          <w:noProof/>
        </w:rPr>
        <w:drawing>
          <wp:inline distT="0" distB="0" distL="0" distR="0" wp14:anchorId="3330426C" wp14:editId="5D70FD9A">
            <wp:extent cx="89535" cy="89535"/>
            <wp:effectExtent l="0" t="0" r="0" b="0"/>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a declining balance depreciation rate of 40 percent for computers and data handling equipment;</w:t>
      </w:r>
    </w:p>
    <w:p w14:paraId="0F306C6E" w14:textId="77777777" w:rsidR="00431024" w:rsidRDefault="003931E2">
      <w:pPr>
        <w:pStyle w:val="p"/>
      </w:pPr>
      <w:r w:rsidRPr="00D7377F">
        <w:rPr>
          <w:noProof/>
        </w:rPr>
        <w:drawing>
          <wp:inline distT="0" distB="0" distL="0" distR="0" wp14:anchorId="52BDEB04" wp14:editId="5AEDCBC6">
            <wp:extent cx="89535" cy="89535"/>
            <wp:effectExtent l="0" t="0" r="0" b="0"/>
            <wp:docPr id="1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a declining balance depreciation rate of 30 percent for plant and machinery used in farming, manufacturing and mining;</w:t>
      </w:r>
    </w:p>
    <w:p w14:paraId="4FBC7939" w14:textId="77777777" w:rsidR="00431024" w:rsidRDefault="003931E2">
      <w:pPr>
        <w:pStyle w:val="p"/>
      </w:pPr>
      <w:r w:rsidRPr="00D7377F">
        <w:rPr>
          <w:noProof/>
        </w:rPr>
        <w:drawing>
          <wp:inline distT="0" distB="0" distL="0" distR="0" wp14:anchorId="6FAF442B" wp14:editId="31D70C46">
            <wp:extent cx="89535" cy="89535"/>
            <wp:effectExtent l="0" t="0" r="0" b="0"/>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a declining balance depreciation rate of 20 percent for:</w:t>
      </w:r>
    </w:p>
    <w:p w14:paraId="0C836191" w14:textId="77777777" w:rsidR="00431024" w:rsidRDefault="00431024">
      <w:pPr>
        <w:pStyle w:val="p"/>
      </w:pPr>
      <w:r>
        <w:t>o automobiles;</w:t>
      </w:r>
    </w:p>
    <w:p w14:paraId="2742B3B2" w14:textId="77777777" w:rsidR="00431024" w:rsidRDefault="00431024">
      <w:pPr>
        <w:pStyle w:val="p"/>
      </w:pPr>
      <w:r>
        <w:t>o buses, minibuses, goods vehicles, construction and earth-moving equipment, specialized trucks, tractors, trailers and trailer-mounted containers, rail cars, locomotives and equipment;</w:t>
      </w:r>
    </w:p>
    <w:p w14:paraId="44F47A19" w14:textId="77777777" w:rsidR="00431024" w:rsidRDefault="00431024">
      <w:pPr>
        <w:pStyle w:val="p"/>
      </w:pPr>
      <w:r>
        <w:t>o vessels, barges, tugs and similar water transportation equipment;</w:t>
      </w:r>
    </w:p>
    <w:p w14:paraId="71FCE107" w14:textId="77777777" w:rsidR="00431024" w:rsidRDefault="00431024">
      <w:pPr>
        <w:pStyle w:val="p"/>
      </w:pPr>
      <w:r>
        <w:t>o aircraft;</w:t>
      </w:r>
    </w:p>
    <w:p w14:paraId="0D51C27B" w14:textId="77777777" w:rsidR="00431024" w:rsidRDefault="00431024">
      <w:pPr>
        <w:pStyle w:val="p"/>
      </w:pPr>
      <w:r>
        <w:lastRenderedPageBreak/>
        <w:t>o specialized public utility plant, equipment and machinery;</w:t>
      </w:r>
    </w:p>
    <w:p w14:paraId="149EA2C2" w14:textId="77777777" w:rsidR="00431024" w:rsidRDefault="00431024">
      <w:pPr>
        <w:pStyle w:val="p"/>
      </w:pPr>
      <w:r>
        <w:t>o office furniture, fixtures and equipment; and</w:t>
      </w:r>
    </w:p>
    <w:p w14:paraId="24D69730" w14:textId="77777777" w:rsidR="00431024" w:rsidRDefault="00431024">
      <w:pPr>
        <w:pStyle w:val="p"/>
      </w:pPr>
      <w:r>
        <w:t>o any depreciable asset not included in another class;</w:t>
      </w:r>
    </w:p>
    <w:p w14:paraId="5772D471" w14:textId="77777777" w:rsidR="00431024" w:rsidRDefault="003931E2">
      <w:pPr>
        <w:pStyle w:val="p"/>
      </w:pPr>
      <w:r w:rsidRPr="00D7377F">
        <w:rPr>
          <w:noProof/>
        </w:rPr>
        <w:drawing>
          <wp:inline distT="0" distB="0" distL="0" distR="0" wp14:anchorId="21FEAD94" wp14:editId="4255B991">
            <wp:extent cx="89535" cy="89535"/>
            <wp:effectExtent l="0" t="0" r="0" b="0"/>
            <wp:docPr id="2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a straight-line depreciation rate of 5 percent for industrial buildings; and</w:t>
      </w:r>
    </w:p>
    <w:p w14:paraId="6B4CE23E" w14:textId="77777777" w:rsidR="00431024" w:rsidRDefault="003931E2">
      <w:pPr>
        <w:pStyle w:val="p"/>
      </w:pPr>
      <w:r w:rsidRPr="00D7377F">
        <w:rPr>
          <w:noProof/>
        </w:rPr>
        <w:drawing>
          <wp:inline distT="0" distB="0" distL="0" distR="0" wp14:anchorId="6DBCCF5B" wp14:editId="7F6BD489">
            <wp:extent cx="89535" cy="89535"/>
            <wp:effectExtent l="0" t="0" r="0" b="0"/>
            <wp:docPr id="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a capped rate of 60 million shillings for road vehicles other than commercial vehicles which meet certain criteria.</w:t>
      </w:r>
      <w:r w:rsidR="00431024">
        <w:rPr>
          <w:vertAlign w:val="superscript"/>
        </w:rPr>
        <w:t>2</w:t>
      </w:r>
      <w:r w:rsidR="00431024" w:rsidRPr="0030192A">
        <w:rPr>
          <w:rStyle w:val="FootnoteReference"/>
        </w:rPr>
        <w:footnoteReference w:customMarkFollows="1" w:id="24"/>
        <w:t>3</w:t>
      </w:r>
    </w:p>
    <w:p w14:paraId="7F9053A3" w14:textId="77777777" w:rsidR="00431024" w:rsidRPr="007568F3" w:rsidRDefault="00431024"/>
    <w:p w14:paraId="5EE5A2CD" w14:textId="77777777" w:rsidR="00431024" w:rsidRDefault="00431024">
      <w:pPr>
        <w:pStyle w:val="p"/>
      </w:pPr>
      <w:r>
        <w:rPr>
          <w:sz w:val="24"/>
          <w:szCs w:val="24"/>
        </w:rPr>
        <w:br/>
      </w:r>
      <w:r>
        <w:rPr>
          <w:b/>
          <w:bCs/>
        </w:rPr>
        <w:t xml:space="preserve">2.4.5. Reserves </w:t>
      </w:r>
      <w:r>
        <w:rPr>
          <w:b/>
          <w:bCs/>
        </w:rPr>
        <w:br/>
      </w:r>
      <w:r>
        <w:t>Deduction of any reserve/provision is generally not permitted for tax purposes except in the case of financial institutions and short-term insurance businesses. Financial institutions are allowed specific reserves in accordance with the regulations issued by the Central Bank of Uganda.</w:t>
      </w:r>
    </w:p>
    <w:p w14:paraId="2AA385CA" w14:textId="77777777" w:rsidR="005B06CF" w:rsidRPr="005B06CF" w:rsidRDefault="00431024" w:rsidP="005B06CF">
      <w:pPr>
        <w:pStyle w:val="p"/>
      </w:pPr>
      <w:r>
        <w:rPr>
          <w:sz w:val="24"/>
          <w:szCs w:val="24"/>
        </w:rPr>
        <w:br/>
      </w:r>
      <w:r>
        <w:rPr>
          <w:b/>
          <w:bCs/>
        </w:rPr>
        <w:t xml:space="preserve">2.4.6. Special Allowances </w:t>
      </w:r>
      <w:r>
        <w:rPr>
          <w:b/>
          <w:bCs/>
        </w:rPr>
        <w:br/>
      </w:r>
      <w:r w:rsidR="005B06CF" w:rsidRPr="005B06CF">
        <w:t xml:space="preserve">A deduction is allowed for each of the following: </w:t>
      </w:r>
    </w:p>
    <w:p w14:paraId="5E505EC3" w14:textId="77777777" w:rsidR="005B06CF" w:rsidRPr="005B06CF" w:rsidRDefault="003931E2" w:rsidP="005B06CF">
      <w:pPr>
        <w:pStyle w:val="p"/>
      </w:pPr>
      <w:r w:rsidRPr="00D7377F">
        <w:rPr>
          <w:noProof/>
        </w:rPr>
        <w:drawing>
          <wp:inline distT="0" distB="0" distL="0" distR="0" wp14:anchorId="66C57CFC" wp14:editId="4158BB12">
            <wp:extent cx="89535" cy="89535"/>
            <wp:effectExtent l="0" t="0" r="0" b="0"/>
            <wp:docPr id="22" name="Picture 1141998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99830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5B06CF" w:rsidRPr="005B06CF">
        <w:t xml:space="preserve"> 50 percent of the rental income as expenditures and losses incurred in the production of such income where the expenditure and losses incurred in the production of rental income exceed 50 percent of the rental income;</w:t>
      </w:r>
      <w:r w:rsidR="005B06CF" w:rsidRPr="005B06CF">
        <w:rPr>
          <w:vertAlign w:val="superscript"/>
        </w:rPr>
        <w:t>2</w:t>
      </w:r>
      <w:r w:rsidR="005B06CF" w:rsidRPr="005B06CF">
        <w:rPr>
          <w:vertAlign w:val="superscript"/>
        </w:rPr>
        <w:footnoteReference w:customMarkFollows="1" w:id="25"/>
        <w:t>9</w:t>
      </w:r>
    </w:p>
    <w:p w14:paraId="4C504A83" w14:textId="77777777" w:rsidR="005B06CF" w:rsidRPr="005B06CF" w:rsidRDefault="003931E2" w:rsidP="005B06CF">
      <w:pPr>
        <w:pStyle w:val="p"/>
      </w:pPr>
      <w:r w:rsidRPr="00D7377F">
        <w:rPr>
          <w:noProof/>
        </w:rPr>
        <w:drawing>
          <wp:inline distT="0" distB="0" distL="0" distR="0" wp14:anchorId="040D6E1F" wp14:editId="124640CE">
            <wp:extent cx="89535" cy="89535"/>
            <wp:effectExtent l="0" t="0" r="0" b="0"/>
            <wp:docPr id="23" name="Picture 1117715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71596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5B06CF" w:rsidRPr="005B06CF">
        <w:t xml:space="preserve"> two percent of the income tax payable under the ITA by private employers who prove to the URA that five percent of their employees on a full-time basis are persons with disabilities; and</w:t>
      </w:r>
    </w:p>
    <w:p w14:paraId="3F475E1B" w14:textId="77777777" w:rsidR="005B06CF" w:rsidRPr="005B06CF" w:rsidRDefault="003931E2" w:rsidP="005B06CF">
      <w:pPr>
        <w:pStyle w:val="p"/>
      </w:pPr>
      <w:r w:rsidRPr="00D7377F">
        <w:rPr>
          <w:noProof/>
        </w:rPr>
        <w:drawing>
          <wp:inline distT="0" distB="0" distL="0" distR="0" wp14:anchorId="2C30D263" wp14:editId="6803F89A">
            <wp:extent cx="89535" cy="89535"/>
            <wp:effectExtent l="0" t="0" r="0" b="0"/>
            <wp:docPr id="24" name="Picture 405600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60074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5B06CF" w:rsidRPr="005B06CF">
        <w:t xml:space="preserve"> expenditure incurred in starting up a business or in the initial public offering at the stock market, up to 25 percent of the amount of the expenditure incurred in the year of income the expenditure is incurred and in the following three years of income in which the business is carried on. The expenditure in this case entails nonrecurring preliminary or pre-opening costs associated with setting up a business such as registration charges and legal fees.</w:t>
      </w:r>
      <w:r w:rsidR="005B06CF" w:rsidRPr="005B06CF">
        <w:rPr>
          <w:vertAlign w:val="superscript"/>
        </w:rPr>
        <w:t>3</w:t>
      </w:r>
      <w:r w:rsidR="005B06CF" w:rsidRPr="005B06CF">
        <w:rPr>
          <w:vertAlign w:val="superscript"/>
        </w:rPr>
        <w:footnoteReference w:customMarkFollows="1" w:id="26"/>
        <w:t>0</w:t>
      </w:r>
    </w:p>
    <w:p w14:paraId="2FF1F578" w14:textId="77777777" w:rsidR="00431024" w:rsidRDefault="00431024" w:rsidP="005B06CF">
      <w:pPr>
        <w:pStyle w:val="p"/>
      </w:pPr>
    </w:p>
    <w:p w14:paraId="7062D741" w14:textId="77777777" w:rsidR="00431024" w:rsidRDefault="00431024">
      <w:pPr>
        <w:pStyle w:val="p"/>
      </w:pPr>
      <w:r>
        <w:rPr>
          <w:sz w:val="24"/>
          <w:szCs w:val="24"/>
        </w:rPr>
        <w:br/>
      </w:r>
      <w:r>
        <w:rPr>
          <w:b/>
          <w:bCs/>
        </w:rPr>
        <w:t xml:space="preserve">2.4.7. Special Provisions or Limits Applicable to Foreign Companies </w:t>
      </w:r>
      <w:r>
        <w:rPr>
          <w:b/>
          <w:bCs/>
        </w:rPr>
        <w:br/>
      </w:r>
      <w:r>
        <w:t>The ITA does not provide for any special rules, restrictions or limitations relating to the operation of foreign companies in Uganda.</w:t>
      </w:r>
    </w:p>
    <w:p w14:paraId="1AE8D093" w14:textId="77777777" w:rsidR="00431024" w:rsidRDefault="00431024">
      <w:pPr>
        <w:pStyle w:val="p"/>
      </w:pPr>
      <w:r>
        <w:rPr>
          <w:sz w:val="24"/>
          <w:szCs w:val="24"/>
        </w:rPr>
        <w:br/>
      </w:r>
      <w:r>
        <w:rPr>
          <w:b/>
          <w:bCs/>
        </w:rPr>
        <w:t xml:space="preserve">2.5. Intercompany Dividends </w:t>
      </w:r>
      <w:r>
        <w:rPr>
          <w:b/>
          <w:bCs/>
        </w:rPr>
        <w:br/>
      </w:r>
      <w:r>
        <w:t>A dividend paid by a resident company to another resident company is subject to withholding tax on the gross amount of the dividend payment at a rate of 15 percent.</w:t>
      </w:r>
      <w:r>
        <w:rPr>
          <w:vertAlign w:val="superscript"/>
        </w:rPr>
        <w:t>2</w:t>
      </w:r>
      <w:r w:rsidRPr="0030192A">
        <w:rPr>
          <w:rStyle w:val="FootnoteReference"/>
        </w:rPr>
        <w:footnoteReference w:customMarkFollows="1" w:id="27"/>
        <w:t>5</w:t>
      </w:r>
      <w:r>
        <w:t xml:space="preserve"> If the dividend income is exempt from tax in the hands of the resident company receiving the dividend, then withholding tax does not apply. This is a final withholding tax, and the recipient is not entitled to any tax credit for the same.</w:t>
      </w:r>
    </w:p>
    <w:p w14:paraId="709669E5" w14:textId="77777777" w:rsidR="00431024" w:rsidRDefault="00431024">
      <w:pPr>
        <w:pStyle w:val="p"/>
      </w:pPr>
      <w:r>
        <w:rPr>
          <w:sz w:val="24"/>
          <w:szCs w:val="24"/>
        </w:rPr>
        <w:br/>
      </w:r>
      <w:r>
        <w:rPr>
          <w:b/>
          <w:bCs/>
        </w:rPr>
        <w:t xml:space="preserve">2.6. Special Tax Regimes </w:t>
      </w:r>
      <w:r>
        <w:rPr>
          <w:b/>
          <w:bCs/>
        </w:rPr>
        <w:br/>
      </w:r>
      <w:r>
        <w:rPr>
          <w:b/>
          <w:bCs/>
        </w:rPr>
        <w:br/>
      </w:r>
      <w:r>
        <w:rPr>
          <w:b/>
          <w:bCs/>
        </w:rPr>
        <w:lastRenderedPageBreak/>
        <w:t xml:space="preserve">2.6.1. Economic Zones </w:t>
      </w:r>
      <w:r>
        <w:rPr>
          <w:b/>
          <w:bCs/>
        </w:rPr>
        <w:br/>
      </w:r>
      <w:r>
        <w:t>Income derived by investors in industrial parks and free zones can benefit from income tax exemption for a period of 10 years. The exemption is subject to minimum investment capital requirements and certain other conditions, depending on the type of investor. In addition, there is no stamp duty on debentures, leases of land, increases of share capital and transfers of land.</w:t>
      </w:r>
    </w:p>
    <w:p w14:paraId="556975DE" w14:textId="77777777" w:rsidR="00431024" w:rsidRDefault="00431024">
      <w:pPr>
        <w:pStyle w:val="p"/>
      </w:pPr>
      <w:r>
        <w:rPr>
          <w:i/>
          <w:iCs/>
        </w:rPr>
        <w:t>Income from letting or leasing facilities</w:t>
      </w:r>
    </w:p>
    <w:p w14:paraId="49DBB345" w14:textId="77777777" w:rsidR="00431024" w:rsidRDefault="00431024">
      <w:pPr>
        <w:pStyle w:val="p"/>
      </w:pPr>
      <w:r>
        <w:t>The exemption period applies to income derived from letting or leasing facilities, from the date of commencement of construction. To qualify, the minimum investment capital requirement is 50 million U.S. dollars for foreigners, and 10 million U.S. dollars for Ugandan citizens.</w:t>
      </w:r>
      <w:r>
        <w:rPr>
          <w:vertAlign w:val="superscript"/>
        </w:rPr>
        <w:t>2</w:t>
      </w:r>
      <w:r w:rsidRPr="0030192A">
        <w:rPr>
          <w:rStyle w:val="FootnoteReference"/>
        </w:rPr>
        <w:footnoteReference w:customMarkFollows="1" w:id="28"/>
        <w:t>6</w:t>
      </w:r>
    </w:p>
    <w:p w14:paraId="0C792DF2" w14:textId="77777777" w:rsidR="00431024" w:rsidRDefault="00431024">
      <w:pPr>
        <w:pStyle w:val="p"/>
      </w:pPr>
      <w:r>
        <w:t>For existing developers, the 10-year exemption period applies from the date on which the developer makes an additional investment that meets the minimum investment capital thresholds set out above.</w:t>
      </w:r>
    </w:p>
    <w:p w14:paraId="1FE44228" w14:textId="77777777" w:rsidR="00431024" w:rsidRDefault="00431024">
      <w:pPr>
        <w:pStyle w:val="p"/>
      </w:pPr>
      <w:r>
        <w:rPr>
          <w:i/>
          <w:iCs/>
        </w:rPr>
        <w:t>Operators in, and other persons carrying on business outside, industrial parks and free zones</w:t>
      </w:r>
    </w:p>
    <w:p w14:paraId="12CAB693" w14:textId="77777777" w:rsidR="00431024" w:rsidRDefault="00431024">
      <w:pPr>
        <w:pStyle w:val="p"/>
      </w:pPr>
      <w:r>
        <w:t>Income derived by an operator in an industrial park or free zone, or by any other person carrying on business outside an industrial park or free zone is exempt from tax for a period of 10 years from the date of commencement of business.</w:t>
      </w:r>
      <w:r>
        <w:rPr>
          <w:vertAlign w:val="superscript"/>
        </w:rPr>
        <w:t>2</w:t>
      </w:r>
      <w:r w:rsidRPr="0030192A">
        <w:rPr>
          <w:rStyle w:val="FootnoteReference"/>
        </w:rPr>
        <w:footnoteReference w:customMarkFollows="1" w:id="29"/>
        <w:t>7</w:t>
      </w:r>
      <w:r>
        <w:t xml:space="preserve"> The minimum investment capital requirement is: </w:t>
      </w:r>
    </w:p>
    <w:p w14:paraId="05CAE82B" w14:textId="77777777" w:rsidR="00431024" w:rsidRDefault="003931E2">
      <w:pPr>
        <w:pStyle w:val="p"/>
      </w:pPr>
      <w:r w:rsidRPr="00D7377F">
        <w:rPr>
          <w:noProof/>
        </w:rPr>
        <w:drawing>
          <wp:inline distT="0" distB="0" distL="0" distR="0" wp14:anchorId="7B652793" wp14:editId="72AC275D">
            <wp:extent cx="89535" cy="89535"/>
            <wp:effectExtent l="0" t="0" r="0" b="0"/>
            <wp:docPr id="2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10 million U.S. dollars for foreigners and 300,000 U.S. dollars for Ugandan citizens; or</w:t>
      </w:r>
    </w:p>
    <w:p w14:paraId="54396707" w14:textId="77777777" w:rsidR="00431024" w:rsidRDefault="003931E2">
      <w:pPr>
        <w:pStyle w:val="p"/>
      </w:pPr>
      <w:r w:rsidRPr="00D7377F">
        <w:rPr>
          <w:noProof/>
        </w:rPr>
        <w:drawing>
          <wp:inline distT="0" distB="0" distL="0" distR="0" wp14:anchorId="516F0974" wp14:editId="2BCA8BEC">
            <wp:extent cx="89535" cy="89535"/>
            <wp:effectExtent l="0" t="0" r="0" b="0"/>
            <wp:docPr id="2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150,000 U.S. dollars for Ugandan citizens whose investment is placed up country.</w:t>
      </w:r>
    </w:p>
    <w:p w14:paraId="3932543B" w14:textId="77777777" w:rsidR="00431024" w:rsidRDefault="00431024">
      <w:pPr>
        <w:rPr>
          <w:sz w:val="24"/>
          <w:szCs w:val="24"/>
        </w:rPr>
      </w:pPr>
    </w:p>
    <w:p w14:paraId="5AD6295C" w14:textId="77777777" w:rsidR="00431024" w:rsidRDefault="00431024">
      <w:pPr>
        <w:pStyle w:val="p"/>
      </w:pPr>
      <w:r>
        <w:t>For existing investors, the 10-year exemption period applies from the date on which the investor makes an additional investment that meets the minimum investment capital thresholds set out above.</w:t>
      </w:r>
    </w:p>
    <w:p w14:paraId="64FD84AA" w14:textId="77777777" w:rsidR="00431024" w:rsidRDefault="00431024">
      <w:pPr>
        <w:pStyle w:val="p"/>
      </w:pPr>
      <w:r>
        <w:t xml:space="preserve">Furthermore, to qualify for the income tax exemption, the investor must: </w:t>
      </w:r>
    </w:p>
    <w:p w14:paraId="6CD74A38" w14:textId="77777777" w:rsidR="00431024" w:rsidRDefault="003931E2">
      <w:pPr>
        <w:pStyle w:val="p"/>
      </w:pPr>
      <w:r w:rsidRPr="00D7377F">
        <w:rPr>
          <w:noProof/>
        </w:rPr>
        <w:drawing>
          <wp:inline distT="0" distB="0" distL="0" distR="0" wp14:anchorId="14669BFA" wp14:editId="3F7A84FC">
            <wp:extent cx="89535" cy="89535"/>
            <wp:effectExtent l="0" t="0" r="0" b="0"/>
            <wp:docPr id="2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subject to availability, use at least 70 percent of locally sourced raw materials, and have a workforce comprising at least 70 percent of Ugandan citizen employees earning an aggregate wage of at least 70 percent of the total wage bill; and</w:t>
      </w:r>
    </w:p>
    <w:p w14:paraId="1A4725BB" w14:textId="77777777" w:rsidR="00431024" w:rsidRDefault="003931E2">
      <w:pPr>
        <w:pStyle w:val="p"/>
      </w:pPr>
      <w:r w:rsidRPr="00D7377F">
        <w:rPr>
          <w:noProof/>
        </w:rPr>
        <w:drawing>
          <wp:inline distT="0" distB="0" distL="0" distR="0" wp14:anchorId="5A4C961B" wp14:editId="47276C7D">
            <wp:extent cx="89535" cy="89535"/>
            <wp:effectExtent l="0" t="0" r="0" b="0"/>
            <wp:docPr id="2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carry out a qualifying business activity, e.g.:</w:t>
      </w:r>
    </w:p>
    <w:p w14:paraId="367F3340" w14:textId="77777777" w:rsidR="00431024" w:rsidRDefault="00431024">
      <w:pPr>
        <w:pStyle w:val="p"/>
      </w:pPr>
      <w:r>
        <w:t>o manufacturing certain goods (e.g., medical appliances, pharmaceuticals, automobiles, household appliances, furniture, pulp and paper, and chemicals for use in various sectors);</w:t>
      </w:r>
    </w:p>
    <w:p w14:paraId="48DE008E" w14:textId="77777777" w:rsidR="00431024" w:rsidRDefault="00431024">
      <w:pPr>
        <w:pStyle w:val="p"/>
      </w:pPr>
      <w:r>
        <w:t>o establishing or operating vocational or technical institutes;</w:t>
      </w:r>
    </w:p>
    <w:p w14:paraId="07C82D6B" w14:textId="77777777" w:rsidR="00431024" w:rsidRDefault="00431024">
      <w:pPr>
        <w:pStyle w:val="p"/>
      </w:pPr>
      <w:r>
        <w:t>o logistics and warehousing;</w:t>
      </w:r>
    </w:p>
    <w:p w14:paraId="25830F94" w14:textId="77777777" w:rsidR="00431024" w:rsidRDefault="00431024">
      <w:pPr>
        <w:pStyle w:val="p"/>
      </w:pPr>
      <w:r>
        <w:t>o information technology;</w:t>
      </w:r>
    </w:p>
    <w:p w14:paraId="2FF972F7" w14:textId="77777777" w:rsidR="00431024" w:rsidRDefault="00431024">
      <w:pPr>
        <w:pStyle w:val="p"/>
      </w:pPr>
      <w:r>
        <w:t>o commercial farming and</w:t>
      </w:r>
    </w:p>
    <w:p w14:paraId="0FBC2B2D" w14:textId="77777777" w:rsidR="00431024" w:rsidRDefault="00431024">
      <w:pPr>
        <w:pStyle w:val="p"/>
      </w:pPr>
      <w:r>
        <w:t>o manufacturing chemicals for agricultural use, industrial use, textiles, glassware, leather products, industrial machinery, electrical equipment, sanitary pad for diapers.</w:t>
      </w:r>
    </w:p>
    <w:p w14:paraId="40D10EBA" w14:textId="77777777" w:rsidR="00431024" w:rsidRDefault="00431024">
      <w:pPr>
        <w:rPr>
          <w:sz w:val="24"/>
          <w:szCs w:val="24"/>
        </w:rPr>
      </w:pPr>
    </w:p>
    <w:p w14:paraId="2F2EC3F2" w14:textId="77777777" w:rsidR="00431024" w:rsidRDefault="00431024">
      <w:pPr>
        <w:pStyle w:val="p"/>
      </w:pPr>
      <w:r>
        <w:rPr>
          <w:sz w:val="24"/>
          <w:szCs w:val="24"/>
        </w:rPr>
        <w:br/>
      </w:r>
      <w:r>
        <w:rPr>
          <w:b/>
          <w:bCs/>
        </w:rPr>
        <w:t xml:space="preserve">2.6.2. International Finance or Holding Companies </w:t>
      </w:r>
      <w:r>
        <w:rPr>
          <w:b/>
          <w:bCs/>
        </w:rPr>
        <w:br/>
      </w:r>
      <w:r>
        <w:t>Uganda does not have any specific provisions or a special tax regime for international finance or holding companies.</w:t>
      </w:r>
    </w:p>
    <w:p w14:paraId="301FF49B" w14:textId="77777777" w:rsidR="00431024" w:rsidRDefault="00431024">
      <w:pPr>
        <w:pStyle w:val="p"/>
      </w:pPr>
      <w:r>
        <w:rPr>
          <w:sz w:val="24"/>
          <w:szCs w:val="24"/>
        </w:rPr>
        <w:lastRenderedPageBreak/>
        <w:br/>
      </w:r>
      <w:r>
        <w:rPr>
          <w:b/>
          <w:bCs/>
        </w:rPr>
        <w:t xml:space="preserve">2.6.3. Research and Development Companies and Activities </w:t>
      </w:r>
      <w:r>
        <w:rPr>
          <w:b/>
          <w:bCs/>
        </w:rPr>
        <w:br/>
      </w:r>
      <w:r>
        <w:t>The ITA allows a deduction for scientific research expenditure incurred during the year of income in the course of carrying on business. Scientific research means any activity in the field of natural or applied science for the development of human knowledge.</w:t>
      </w:r>
      <w:r>
        <w:rPr>
          <w:vertAlign w:val="superscript"/>
        </w:rPr>
        <w:t>2</w:t>
      </w:r>
      <w:r w:rsidRPr="0030192A">
        <w:rPr>
          <w:rStyle w:val="FootnoteReference"/>
        </w:rPr>
        <w:footnoteReference w:customMarkFollows="1" w:id="30"/>
        <w:t>8</w:t>
      </w:r>
    </w:p>
    <w:p w14:paraId="54F7A20B" w14:textId="77777777" w:rsidR="005B06CF" w:rsidRPr="005B06CF" w:rsidRDefault="00431024" w:rsidP="007568F3">
      <w:pPr>
        <w:pStyle w:val="p"/>
        <w:ind w:firstLine="0"/>
      </w:pPr>
      <w:r>
        <w:rPr>
          <w:sz w:val="24"/>
          <w:szCs w:val="24"/>
        </w:rPr>
        <w:br/>
      </w:r>
      <w:r>
        <w:rPr>
          <w:b/>
          <w:bCs/>
        </w:rPr>
        <w:t xml:space="preserve">2.6.4. Other Special Regimes </w:t>
      </w:r>
    </w:p>
    <w:p w14:paraId="3B1061A1" w14:textId="77777777" w:rsidR="005B06CF" w:rsidRPr="005B06CF" w:rsidRDefault="005B06CF" w:rsidP="007568F3">
      <w:pPr>
        <w:pStyle w:val="p"/>
        <w:ind w:firstLine="0"/>
        <w:rPr>
          <w:b/>
          <w:bCs/>
        </w:rPr>
      </w:pPr>
      <w:r w:rsidRPr="007568F3">
        <w:t>Deductions or allowances are permitted in certain targeted situations, such as employment of disabled persons, operation of real estate subject to excessive expenses, etc. See section 2.4.1 and 2.4.6. Uganda does not otherwise have regimes for promotion of particular activities, such as promotion of industry sectors, arts or investment regimes.</w:t>
      </w:r>
      <w:r w:rsidR="00431024" w:rsidRPr="00C85659">
        <w:br/>
      </w:r>
    </w:p>
    <w:p w14:paraId="7E7E2AF6" w14:textId="77777777" w:rsidR="00431024" w:rsidRDefault="00431024" w:rsidP="005B06CF">
      <w:pPr>
        <w:pStyle w:val="p"/>
      </w:pPr>
      <w:r>
        <w:rPr>
          <w:b/>
          <w:bCs/>
        </w:rPr>
        <w:t xml:space="preserve">2.7. Double Taxation Protection </w:t>
      </w:r>
      <w:r>
        <w:rPr>
          <w:b/>
          <w:bCs/>
        </w:rPr>
        <w:br/>
      </w:r>
      <w:r>
        <w:rPr>
          <w:b/>
          <w:bCs/>
        </w:rPr>
        <w:br/>
        <w:t xml:space="preserve">2.7.1. Mechanics </w:t>
      </w:r>
      <w:r>
        <w:rPr>
          <w:b/>
          <w:bCs/>
        </w:rPr>
        <w:br/>
      </w:r>
      <w:r>
        <w:t xml:space="preserve">Where a resident </w:t>
      </w:r>
      <w:r w:rsidR="007513BF">
        <w:t xml:space="preserve">taxpayer </w:t>
      </w:r>
      <w:r>
        <w:t>earns income in a country outside Uganda and pays income tax in that jurisdiction, relief from double taxation is available. The resident company is allowed a foreign tax credit which is limited to local income tax that would have been paid were the income earned in Uganda for the tax year in which it arises.</w:t>
      </w:r>
      <w:r>
        <w:rPr>
          <w:vertAlign w:val="superscript"/>
        </w:rPr>
        <w:t>3</w:t>
      </w:r>
      <w:r w:rsidRPr="0030192A">
        <w:rPr>
          <w:rStyle w:val="FootnoteReference"/>
        </w:rPr>
        <w:footnoteReference w:customMarkFollows="1" w:id="31"/>
        <w:t>1</w:t>
      </w:r>
      <w:r w:rsidR="007513BF">
        <w:t xml:space="preserve"> The credit is calculated by using the Ugandan resident’s average income tax rate (rather than the marginal rate applicable to income determined without the foreign income), and the credit is not allowed if the foreign country imposes the tax only to “soak up” the Ugandan foreign tax credit, and not for bona fide revenue needs.  Furthermore, the foreign tax credit for business income is determined separately from the foreign tax credit for other income.</w:t>
      </w:r>
    </w:p>
    <w:p w14:paraId="49431887" w14:textId="77777777" w:rsidR="00431024" w:rsidRDefault="00431024">
      <w:pPr>
        <w:pStyle w:val="p"/>
      </w:pPr>
      <w:r>
        <w:rPr>
          <w:sz w:val="24"/>
          <w:szCs w:val="24"/>
        </w:rPr>
        <w:br/>
      </w:r>
      <w:r>
        <w:rPr>
          <w:b/>
          <w:bCs/>
        </w:rPr>
        <w:t xml:space="preserve">2.7.2. Treaty or Statutory Priority </w:t>
      </w:r>
      <w:r>
        <w:rPr>
          <w:b/>
          <w:bCs/>
        </w:rPr>
        <w:br/>
      </w:r>
      <w:r>
        <w:t>Subject to certain exceptions, if a Double Tax Agreement (DTA) states that Ugandan-sourced income is tax exempt or subject to a reduced rate of income tax, the exemption, exclusion or reduction will apply to income derived in Uganda by a resident of the other contracting state.</w:t>
      </w:r>
      <w:r>
        <w:rPr>
          <w:vertAlign w:val="superscript"/>
        </w:rPr>
        <w:t>3</w:t>
      </w:r>
      <w:r w:rsidRPr="0030192A">
        <w:rPr>
          <w:rStyle w:val="FootnoteReference"/>
        </w:rPr>
        <w:footnoteReference w:customMarkFollows="1" w:id="32"/>
        <w:t>2</w:t>
      </w:r>
      <w:r>
        <w:t xml:space="preserve"> However, the benefit is not available to a resident of the other contracting state if that person receives the income in a capacity other than that of a beneficial owner, does not have full and unrestricted ability to enjoy that income and to determine its future uses or does not possess economic substance in the country of residence. This limitation does not apply to public listed companies.</w:t>
      </w:r>
      <w:r>
        <w:rPr>
          <w:vertAlign w:val="superscript"/>
        </w:rPr>
        <w:t>3</w:t>
      </w:r>
      <w:r w:rsidRPr="0030192A">
        <w:rPr>
          <w:rStyle w:val="FootnoteReference"/>
        </w:rPr>
        <w:footnoteReference w:customMarkFollows="1" w:id="33"/>
        <w:t>3</w:t>
      </w:r>
    </w:p>
    <w:p w14:paraId="2E10C1F2" w14:textId="77777777" w:rsidR="00431024" w:rsidRDefault="00431024">
      <w:pPr>
        <w:pStyle w:val="p"/>
      </w:pPr>
      <w:r>
        <w:t xml:space="preserve">In the event of a conflict between the terms of a DTA and the provisions of the ITA, the DTA </w:t>
      </w:r>
      <w:r w:rsidR="00AE4852">
        <w:t xml:space="preserve">normally </w:t>
      </w:r>
      <w:r>
        <w:t>prevails.</w:t>
      </w:r>
      <w:r>
        <w:rPr>
          <w:vertAlign w:val="superscript"/>
        </w:rPr>
        <w:t>3</w:t>
      </w:r>
      <w:r w:rsidRPr="0030192A">
        <w:rPr>
          <w:rStyle w:val="FootnoteReference"/>
        </w:rPr>
        <w:footnoteReference w:customMarkFollows="1" w:id="34"/>
        <w:t>4</w:t>
      </w:r>
      <w:r>
        <w:t xml:space="preserve"> It should be noted, however, that a taxpayer cannot apply the tax rate under Ugandan domestic law rather than the treaty rate if its treatment is more favorable than the treaty's.</w:t>
      </w:r>
    </w:p>
    <w:p w14:paraId="53ED1EA7" w14:textId="77777777" w:rsidR="00431024" w:rsidRDefault="00431024">
      <w:pPr>
        <w:pStyle w:val="p"/>
      </w:pPr>
      <w:r>
        <w:t xml:space="preserve">For treaty information, including the number of agreements signed or in force, original treaty texts, translations, consolidations and any modifications made by the Multilateral Instrument, if applicable, see the </w:t>
      </w:r>
      <w:commentRangeStart w:id="2"/>
      <w:r w:rsidR="006C16C4">
        <w:fldChar w:fldCharType="begin"/>
      </w:r>
      <w:r w:rsidR="006C16C4">
        <w:instrText>HYPERLINK "https://www.bloomberglaw.com/product/tax/search/results/83d6128383a56c7d4ebf69e5fd32933b/"</w:instrText>
      </w:r>
      <w:r w:rsidR="006C16C4">
        <w:fldChar w:fldCharType="separate"/>
      </w:r>
      <w:r w:rsidRPr="006C16C4">
        <w:rPr>
          <w:rStyle w:val="Hyperlink"/>
        </w:rPr>
        <w:t xml:space="preserve">International Tax </w:t>
      </w:r>
      <w:r w:rsidRPr="006C16C4">
        <w:rPr>
          <w:rStyle w:val="Hyperlink"/>
        </w:rPr>
        <w:lastRenderedPageBreak/>
        <w:t>Treaties Collection</w:t>
      </w:r>
      <w:r w:rsidR="006C16C4">
        <w:fldChar w:fldCharType="end"/>
      </w:r>
      <w:commentRangeEnd w:id="2"/>
      <w:r w:rsidR="006C16C4">
        <w:rPr>
          <w:rStyle w:val="CommentReference"/>
        </w:rPr>
        <w:commentReference w:id="2"/>
      </w:r>
      <w:r>
        <w:t>.</w:t>
      </w:r>
    </w:p>
    <w:p w14:paraId="4ABDE048" w14:textId="77777777" w:rsidR="00431024" w:rsidRDefault="00431024">
      <w:pPr>
        <w:pStyle w:val="p"/>
      </w:pPr>
      <w:r>
        <w:rPr>
          <w:sz w:val="24"/>
          <w:szCs w:val="24"/>
        </w:rPr>
        <w:br/>
      </w:r>
      <w:r>
        <w:rPr>
          <w:b/>
          <w:bCs/>
        </w:rPr>
        <w:t xml:space="preserve">2.7.3. Source of Interpretation </w:t>
      </w:r>
      <w:r>
        <w:rPr>
          <w:b/>
          <w:bCs/>
        </w:rPr>
        <w:br/>
      </w:r>
      <w:r>
        <w:t>Ugandan tax treaties are generally based on the OECD Model Treaty.</w:t>
      </w:r>
    </w:p>
    <w:p w14:paraId="71520E68" w14:textId="77777777" w:rsidR="00431024" w:rsidRDefault="00431024">
      <w:pPr>
        <w:pStyle w:val="p"/>
      </w:pPr>
      <w:r>
        <w:rPr>
          <w:sz w:val="24"/>
          <w:szCs w:val="24"/>
        </w:rPr>
        <w:br/>
      </w:r>
      <w:r w:rsidRPr="003E010F">
        <w:rPr>
          <w:b/>
          <w:bCs/>
        </w:rPr>
        <w:t>2.8. Returns and Filing Dates</w:t>
      </w:r>
      <w:r>
        <w:rPr>
          <w:b/>
          <w:bCs/>
        </w:rPr>
        <w:t xml:space="preserve"> </w:t>
      </w:r>
      <w:r>
        <w:rPr>
          <w:b/>
          <w:bCs/>
        </w:rPr>
        <w:br/>
      </w:r>
      <w:r>
        <w:rPr>
          <w:b/>
          <w:bCs/>
        </w:rPr>
        <w:br/>
        <w:t xml:space="preserve">2.8.1. Filing Deadline </w:t>
      </w:r>
      <w:r>
        <w:rPr>
          <w:b/>
          <w:bCs/>
        </w:rPr>
        <w:br/>
      </w:r>
      <w:r>
        <w:t>In Uganda, a final income tax return must be filed with the URA not later than six months after the end of the year of income. For instance, a company with a June 30 year-end must file its income tax return by December 31.</w:t>
      </w:r>
      <w:r>
        <w:rPr>
          <w:vertAlign w:val="superscript"/>
        </w:rPr>
        <w:t>3</w:t>
      </w:r>
      <w:r w:rsidRPr="0030192A">
        <w:rPr>
          <w:rStyle w:val="FootnoteReference"/>
        </w:rPr>
        <w:footnoteReference w:customMarkFollows="1" w:id="35"/>
        <w:t>5</w:t>
      </w:r>
    </w:p>
    <w:p w14:paraId="73FFAD54" w14:textId="77777777" w:rsidR="00431024" w:rsidRDefault="00431024">
      <w:pPr>
        <w:pStyle w:val="p"/>
      </w:pPr>
      <w:r>
        <w:t>Taxpayers subject to withholding tax on payments at source must file a return of withholding tax within 15 days after the end of the month in which the tax was withheld.</w:t>
      </w:r>
      <w:r>
        <w:rPr>
          <w:vertAlign w:val="superscript"/>
        </w:rPr>
        <w:t>3</w:t>
      </w:r>
      <w:r w:rsidRPr="0030192A">
        <w:rPr>
          <w:rStyle w:val="FootnoteReference"/>
        </w:rPr>
        <w:footnoteReference w:customMarkFollows="1" w:id="36"/>
        <w:t>6</w:t>
      </w:r>
    </w:p>
    <w:p w14:paraId="32A971F8" w14:textId="77777777" w:rsidR="00431024" w:rsidRDefault="00431024">
      <w:pPr>
        <w:pStyle w:val="p"/>
      </w:pPr>
      <w:r>
        <w:rPr>
          <w:sz w:val="24"/>
          <w:szCs w:val="24"/>
        </w:rPr>
        <w:br/>
      </w:r>
      <w:r>
        <w:rPr>
          <w:b/>
          <w:bCs/>
        </w:rPr>
        <w:t xml:space="preserve">2.8.2. Filing Method </w:t>
      </w:r>
      <w:r>
        <w:rPr>
          <w:b/>
          <w:bCs/>
        </w:rPr>
        <w:br/>
      </w:r>
      <w:r>
        <w:t>Companies must file their income tax returns electronically.</w:t>
      </w:r>
    </w:p>
    <w:p w14:paraId="2985F3B6" w14:textId="77777777" w:rsidR="00431024" w:rsidRDefault="00431024">
      <w:pPr>
        <w:pStyle w:val="p"/>
      </w:pPr>
      <w:r>
        <w:rPr>
          <w:sz w:val="24"/>
          <w:szCs w:val="24"/>
        </w:rPr>
        <w:br/>
      </w:r>
      <w:r>
        <w:rPr>
          <w:b/>
          <w:bCs/>
        </w:rPr>
        <w:t xml:space="preserve">2.8.3. Extensions </w:t>
      </w:r>
      <w:r>
        <w:rPr>
          <w:b/>
          <w:bCs/>
        </w:rPr>
        <w:br/>
      </w:r>
      <w:r>
        <w:t xml:space="preserve">A company may apply in writing to the URA for an extension of time within which to furnish an income tax return prior to the due date for filing the return; however, the URA may </w:t>
      </w:r>
      <w:r w:rsidR="003E010F">
        <w:t xml:space="preserve">also </w:t>
      </w:r>
      <w:r>
        <w:t>accept an application for an extension after the due date if it is satisfied that the failure to file a timely return was due to exceptional circumstances. An extension, if granted, does not change the date of payment of tax, and interest on the outstanding tax obligation begins to accrue from the due date. The extension of time granted ordinarily does not exceed an aggregate period of 90 days.</w:t>
      </w:r>
      <w:r>
        <w:rPr>
          <w:vertAlign w:val="superscript"/>
        </w:rPr>
        <w:t>3</w:t>
      </w:r>
      <w:r w:rsidRPr="0030192A">
        <w:rPr>
          <w:rStyle w:val="FootnoteReference"/>
        </w:rPr>
        <w:footnoteReference w:customMarkFollows="1" w:id="37"/>
        <w:t>7</w:t>
      </w:r>
    </w:p>
    <w:p w14:paraId="12E364F0" w14:textId="77777777" w:rsidR="00431024" w:rsidRDefault="00431024">
      <w:pPr>
        <w:pStyle w:val="p"/>
      </w:pPr>
      <w:r>
        <w:rPr>
          <w:sz w:val="24"/>
          <w:szCs w:val="24"/>
        </w:rPr>
        <w:br/>
      </w:r>
      <w:r>
        <w:rPr>
          <w:b/>
          <w:bCs/>
        </w:rPr>
        <w:t xml:space="preserve">2.8.4. Penalties </w:t>
      </w:r>
      <w:r>
        <w:rPr>
          <w:b/>
          <w:bCs/>
        </w:rPr>
        <w:br/>
      </w:r>
      <w:r>
        <w:t xml:space="preserve">The penalty for not filing a return on the due date is the greater of: </w:t>
      </w:r>
    </w:p>
    <w:p w14:paraId="38A3FA2B" w14:textId="77777777" w:rsidR="00431024" w:rsidRDefault="003931E2">
      <w:pPr>
        <w:pStyle w:val="p"/>
      </w:pPr>
      <w:r w:rsidRPr="00D7377F">
        <w:rPr>
          <w:noProof/>
        </w:rPr>
        <w:drawing>
          <wp:inline distT="0" distB="0" distL="0" distR="0" wp14:anchorId="4E79D9B7" wp14:editId="33A2274F">
            <wp:extent cx="89535" cy="8953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200,000 shillings per month; or</w:t>
      </w:r>
    </w:p>
    <w:p w14:paraId="05C11931" w14:textId="77777777" w:rsidR="00431024" w:rsidRDefault="003931E2">
      <w:pPr>
        <w:pStyle w:val="p"/>
      </w:pPr>
      <w:r w:rsidRPr="00D7377F">
        <w:rPr>
          <w:noProof/>
        </w:rPr>
        <w:drawing>
          <wp:inline distT="0" distB="0" distL="0" distR="0" wp14:anchorId="6ECAD5C4" wp14:editId="7677B8C2">
            <wp:extent cx="89535" cy="8953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2 percent per month of the tax payable under the income tax return before deducting any credit, for the period the return remains outstanding.</w:t>
      </w:r>
      <w:r w:rsidR="00431024">
        <w:rPr>
          <w:vertAlign w:val="superscript"/>
        </w:rPr>
        <w:t>3</w:t>
      </w:r>
      <w:r w:rsidR="00431024" w:rsidRPr="0030192A">
        <w:rPr>
          <w:rStyle w:val="FootnoteReference"/>
        </w:rPr>
        <w:footnoteReference w:customMarkFollows="1" w:id="38"/>
        <w:t>8</w:t>
      </w:r>
    </w:p>
    <w:p w14:paraId="5BF030E9" w14:textId="77777777" w:rsidR="00431024" w:rsidRDefault="00431024">
      <w:pPr>
        <w:rPr>
          <w:sz w:val="24"/>
          <w:szCs w:val="24"/>
        </w:rPr>
      </w:pPr>
    </w:p>
    <w:p w14:paraId="289138C2" w14:textId="77777777" w:rsidR="00431024" w:rsidRDefault="00431024" w:rsidP="00B97BE4">
      <w:pPr>
        <w:pStyle w:val="p"/>
        <w:ind w:firstLine="0"/>
      </w:pPr>
      <w:r>
        <w:t xml:space="preserve">If the failure to file a return is considered an offence, the taxpayer is liable on conviction </w:t>
      </w:r>
      <w:r w:rsidR="003E010F">
        <w:t xml:space="preserve">for </w:t>
      </w:r>
      <w:r>
        <w:t>a fine of up to 1 million shillings on conviction, increasing to up to 2 million shillings for further convictions.</w:t>
      </w:r>
      <w:r>
        <w:rPr>
          <w:vertAlign w:val="superscript"/>
        </w:rPr>
        <w:t>3</w:t>
      </w:r>
      <w:r w:rsidRPr="0030192A">
        <w:rPr>
          <w:rStyle w:val="FootnoteReference"/>
        </w:rPr>
        <w:footnoteReference w:customMarkFollows="1" w:id="39"/>
        <w:t>9</w:t>
      </w:r>
    </w:p>
    <w:p w14:paraId="663B2358" w14:textId="77777777" w:rsidR="00D45913" w:rsidRDefault="00D45913" w:rsidP="007568F3">
      <w:pPr>
        <w:pStyle w:val="p"/>
        <w:ind w:firstLine="0"/>
      </w:pPr>
      <w:r>
        <w:t>F</w:t>
      </w:r>
      <w:r w:rsidRPr="00D45913">
        <w:t>or penalties relating to shortfalls in declared tax</w:t>
      </w:r>
      <w:r>
        <w:t xml:space="preserve">, see </w:t>
      </w:r>
      <w:r w:rsidR="00B97BE4">
        <w:t>S</w:t>
      </w:r>
      <w:r>
        <w:t xml:space="preserve">ection 2.9.4. </w:t>
      </w:r>
    </w:p>
    <w:p w14:paraId="05C7E201" w14:textId="77777777" w:rsidR="00431024" w:rsidRDefault="00431024">
      <w:pPr>
        <w:rPr>
          <w:sz w:val="24"/>
          <w:szCs w:val="24"/>
        </w:rPr>
      </w:pPr>
    </w:p>
    <w:p w14:paraId="6035FD94" w14:textId="77777777" w:rsidR="00431024" w:rsidRDefault="00431024">
      <w:pPr>
        <w:pStyle w:val="p"/>
      </w:pPr>
      <w:r>
        <w:rPr>
          <w:sz w:val="24"/>
          <w:szCs w:val="24"/>
        </w:rPr>
        <w:lastRenderedPageBreak/>
        <w:br/>
      </w:r>
      <w:r>
        <w:rPr>
          <w:b/>
          <w:bCs/>
        </w:rPr>
        <w:t xml:space="preserve">2.9. Payment Mechanics </w:t>
      </w:r>
      <w:r>
        <w:rPr>
          <w:b/>
          <w:bCs/>
        </w:rPr>
        <w:br/>
      </w:r>
      <w:r>
        <w:rPr>
          <w:b/>
          <w:bCs/>
        </w:rPr>
        <w:br/>
        <w:t xml:space="preserve">2.9.1. Internal Withholding on Resident Companies </w:t>
      </w:r>
      <w:r>
        <w:rPr>
          <w:b/>
          <w:bCs/>
        </w:rPr>
        <w:br/>
      </w:r>
      <w:r>
        <w:t>Withholding tax is charged on the gross amount of certain payments</w:t>
      </w:r>
      <w:r w:rsidR="00EA6276">
        <w:t xml:space="preserve"> made</w:t>
      </w:r>
      <w:r>
        <w:t xml:space="preserve"> to resident corporations. The rates are as follows: </w:t>
      </w:r>
    </w:p>
    <w:p w14:paraId="124DFFF8" w14:textId="77777777" w:rsidR="00431024" w:rsidRDefault="003931E2">
      <w:pPr>
        <w:pStyle w:val="p"/>
      </w:pPr>
      <w:r w:rsidRPr="00D7377F">
        <w:rPr>
          <w:noProof/>
        </w:rPr>
        <w:drawing>
          <wp:inline distT="0" distB="0" distL="0" distR="0" wp14:anchorId="69F7F4B8" wp14:editId="687415A0">
            <wp:extent cx="89535" cy="89535"/>
            <wp:effectExtent l="0" t="0" r="0" b="0"/>
            <wp:docPr id="31"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dividends — 15 percent (this is a final withholding tax)</w:t>
      </w:r>
      <w:r w:rsidR="006C16C4">
        <w:t xml:space="preserve"> but w</w:t>
      </w:r>
      <w:r w:rsidR="005A5416" w:rsidRPr="005A5416">
        <w:t>here the dividend is paid by a company listed on the stock exchange to a resident shareholder, the rate is 10</w:t>
      </w:r>
      <w:r w:rsidR="005A5416">
        <w:t xml:space="preserve"> percent</w:t>
      </w:r>
      <w:r w:rsidR="005A5416" w:rsidRPr="005A5416">
        <w:t xml:space="preserve"> on the gross amount</w:t>
      </w:r>
      <w:r w:rsidR="00431024">
        <w:t>;</w:t>
      </w:r>
      <w:r w:rsidR="00431024">
        <w:rPr>
          <w:vertAlign w:val="superscript"/>
        </w:rPr>
        <w:t>4</w:t>
      </w:r>
      <w:r w:rsidR="00431024" w:rsidRPr="0030192A">
        <w:rPr>
          <w:rStyle w:val="FootnoteReference"/>
        </w:rPr>
        <w:footnoteReference w:customMarkFollows="1" w:id="40"/>
        <w:t>6</w:t>
      </w:r>
    </w:p>
    <w:p w14:paraId="55618178" w14:textId="77777777" w:rsidR="00431024" w:rsidRDefault="003931E2">
      <w:pPr>
        <w:pStyle w:val="p"/>
      </w:pPr>
      <w:r w:rsidRPr="00D7377F">
        <w:rPr>
          <w:noProof/>
        </w:rPr>
        <w:drawing>
          <wp:inline distT="0" distB="0" distL="0" distR="0" wp14:anchorId="486E92B6" wp14:editId="54FF260F">
            <wp:extent cx="89535" cy="89535"/>
            <wp:effectExtent l="0" t="0" r="0" b="0"/>
            <wp:docPr id="32"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dividends — generally exempt when paid to a resident company by another resident company if the recipient controls, directly or indirectly, 25 percent or more of the voting power in the company paying the dividend;</w:t>
      </w:r>
      <w:r w:rsidR="00431024">
        <w:rPr>
          <w:vertAlign w:val="superscript"/>
        </w:rPr>
        <w:t>4</w:t>
      </w:r>
      <w:r w:rsidR="00431024" w:rsidRPr="0030192A">
        <w:rPr>
          <w:rStyle w:val="FootnoteReference"/>
        </w:rPr>
        <w:footnoteReference w:customMarkFollows="1" w:id="41"/>
        <w:t>7</w:t>
      </w:r>
    </w:p>
    <w:p w14:paraId="18B0B129" w14:textId="77777777" w:rsidR="00431024" w:rsidRDefault="003931E2">
      <w:pPr>
        <w:pStyle w:val="p"/>
      </w:pPr>
      <w:r w:rsidRPr="00D7377F">
        <w:rPr>
          <w:noProof/>
        </w:rPr>
        <w:drawing>
          <wp:inline distT="0" distB="0" distL="0" distR="0" wp14:anchorId="5B63F466" wp14:editId="24A3DCED">
            <wp:extent cx="89535" cy="89535"/>
            <wp:effectExtent l="0" t="0" r="0" b="0"/>
            <wp:docPr id="33"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interest — 15 percent;</w:t>
      </w:r>
      <w:r w:rsidR="00431024">
        <w:rPr>
          <w:vertAlign w:val="superscript"/>
        </w:rPr>
        <w:t>4</w:t>
      </w:r>
      <w:r w:rsidR="00431024" w:rsidRPr="0030192A">
        <w:rPr>
          <w:rStyle w:val="FootnoteReference"/>
        </w:rPr>
        <w:footnoteReference w:customMarkFollows="1" w:id="42"/>
        <w:t>8</w:t>
      </w:r>
    </w:p>
    <w:p w14:paraId="4D894032" w14:textId="77777777" w:rsidR="00431024" w:rsidRDefault="003931E2">
      <w:pPr>
        <w:pStyle w:val="p"/>
      </w:pPr>
      <w:r w:rsidRPr="00D7377F">
        <w:rPr>
          <w:noProof/>
        </w:rPr>
        <w:drawing>
          <wp:inline distT="0" distB="0" distL="0" distR="0" wp14:anchorId="3D5F2AD8" wp14:editId="06FB6389">
            <wp:extent cx="89535" cy="89535"/>
            <wp:effectExtent l="0" t="0" r="0" b="0"/>
            <wp:docPr id="34"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interest paid from government securities — 20 percent for government securities whose maturity period does not exceed 10 years, and 10 percent for government securities whose maturity period is at least 10 years (this is a final withholding tax when paid on treasury bills or government securities by the Bank of Uganda);</w:t>
      </w:r>
      <w:r w:rsidR="00431024">
        <w:rPr>
          <w:vertAlign w:val="superscript"/>
        </w:rPr>
        <w:t>4</w:t>
      </w:r>
      <w:r w:rsidR="00431024" w:rsidRPr="0030192A">
        <w:rPr>
          <w:rStyle w:val="FootnoteReference"/>
        </w:rPr>
        <w:footnoteReference w:customMarkFollows="1" w:id="43"/>
        <w:t>9</w:t>
      </w:r>
    </w:p>
    <w:p w14:paraId="257090E3" w14:textId="77777777" w:rsidR="00431024" w:rsidRDefault="00431024" w:rsidP="007568F3">
      <w:pPr>
        <w:pStyle w:val="p"/>
        <w:numPr>
          <w:ilvl w:val="0"/>
          <w:numId w:val="3"/>
        </w:numPr>
      </w:pPr>
      <w:r>
        <w:t>management or professional fees — 6 percent;</w:t>
      </w:r>
      <w:r>
        <w:rPr>
          <w:vertAlign w:val="superscript"/>
        </w:rPr>
        <w:t>5</w:t>
      </w:r>
      <w:r w:rsidRPr="0030192A">
        <w:rPr>
          <w:rStyle w:val="FootnoteReference"/>
        </w:rPr>
        <w:footnoteReference w:customMarkFollows="1" w:id="44"/>
        <w:t>0</w:t>
      </w:r>
    </w:p>
    <w:p w14:paraId="6A731C52" w14:textId="77777777" w:rsidR="0093271B" w:rsidRDefault="0093271B" w:rsidP="007568F3">
      <w:pPr>
        <w:pStyle w:val="p"/>
        <w:numPr>
          <w:ilvl w:val="0"/>
          <w:numId w:val="3"/>
        </w:numPr>
      </w:pPr>
      <w:r w:rsidRPr="0093271B">
        <w:t>management, agency or professional </w:t>
      </w:r>
      <w:r w:rsidR="00025CBD">
        <w:t>fees</w:t>
      </w:r>
      <w:r w:rsidRPr="0093271B">
        <w:t xml:space="preserve"> provided to an Islamic financial business </w:t>
      </w:r>
      <w:r w:rsidR="00025CBD">
        <w:t>— 6 percent</w:t>
      </w:r>
      <w:r w:rsidR="00066DE0">
        <w:t>;</w:t>
      </w:r>
      <w:r w:rsidR="00066DE0">
        <w:rPr>
          <w:rStyle w:val="FootnoteReference"/>
        </w:rPr>
        <w:footnoteReference w:id="45"/>
      </w:r>
    </w:p>
    <w:p w14:paraId="5D12570B" w14:textId="77777777" w:rsidR="00431024" w:rsidRDefault="003931E2">
      <w:pPr>
        <w:pStyle w:val="p"/>
      </w:pPr>
      <w:r w:rsidRPr="00D7377F">
        <w:rPr>
          <w:noProof/>
        </w:rPr>
        <w:drawing>
          <wp:inline distT="0" distB="0" distL="0" distR="0" wp14:anchorId="752621AF" wp14:editId="52E72924">
            <wp:extent cx="89535" cy="89535"/>
            <wp:effectExtent l="0" t="0" r="0" b="0"/>
            <wp:docPr id="37"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payments for goods and services above 1 million shillings by designated taxpayers, government, government institutions, local authorities or companies controlled by government — 6 percent;</w:t>
      </w:r>
      <w:r w:rsidR="00431024">
        <w:rPr>
          <w:vertAlign w:val="superscript"/>
        </w:rPr>
        <w:t>5</w:t>
      </w:r>
      <w:r w:rsidR="00431024" w:rsidRPr="0030192A">
        <w:rPr>
          <w:rStyle w:val="FootnoteReference"/>
        </w:rPr>
        <w:footnoteReference w:customMarkFollows="1" w:id="46"/>
        <w:t>1</w:t>
      </w:r>
    </w:p>
    <w:p w14:paraId="23A2385C" w14:textId="77777777" w:rsidR="00431024" w:rsidRDefault="003931E2">
      <w:pPr>
        <w:pStyle w:val="p"/>
      </w:pPr>
      <w:r w:rsidRPr="00D7377F">
        <w:rPr>
          <w:noProof/>
        </w:rPr>
        <w:drawing>
          <wp:inline distT="0" distB="0" distL="0" distR="0" wp14:anchorId="09221995" wp14:editId="7C3C11E3">
            <wp:extent cx="89535" cy="89535"/>
            <wp:effectExtent l="0" t="0" r="0" b="0"/>
            <wp:docPr id="38"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purchase of a business or business asset — 6 percent;</w:t>
      </w:r>
      <w:r w:rsidR="00431024">
        <w:rPr>
          <w:vertAlign w:val="superscript"/>
        </w:rPr>
        <w:t>5</w:t>
      </w:r>
      <w:r w:rsidR="00431024" w:rsidRPr="0030192A">
        <w:rPr>
          <w:rStyle w:val="FootnoteReference"/>
        </w:rPr>
        <w:footnoteReference w:customMarkFollows="1" w:id="47"/>
        <w:t>2</w:t>
      </w:r>
      <w:r w:rsidR="00431024">
        <w:t xml:space="preserve"> and</w:t>
      </w:r>
    </w:p>
    <w:p w14:paraId="2158E276" w14:textId="77777777" w:rsidR="00431024" w:rsidRDefault="003931E2">
      <w:pPr>
        <w:pStyle w:val="p"/>
      </w:pPr>
      <w:r w:rsidRPr="00D7377F">
        <w:rPr>
          <w:noProof/>
        </w:rPr>
        <w:drawing>
          <wp:inline distT="0" distB="0" distL="0" distR="0" wp14:anchorId="27872A7A" wp14:editId="07754B49">
            <wp:extent cx="89535" cy="89535"/>
            <wp:effectExtent l="0" t="0" r="0" b="0"/>
            <wp:docPr id="39"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commission paid to an insurance agent or an advertising agent — 10 percent.</w:t>
      </w:r>
      <w:r w:rsidR="00431024">
        <w:rPr>
          <w:vertAlign w:val="superscript"/>
        </w:rPr>
        <w:t>5</w:t>
      </w:r>
      <w:r w:rsidR="00431024" w:rsidRPr="0030192A">
        <w:rPr>
          <w:rStyle w:val="FootnoteReference"/>
        </w:rPr>
        <w:footnoteReference w:customMarkFollows="1" w:id="48"/>
        <w:t>3</w:t>
      </w:r>
      <w:r w:rsidR="00813321">
        <w:t xml:space="preserve"> </w:t>
      </w:r>
    </w:p>
    <w:p w14:paraId="69F495D1" w14:textId="77777777" w:rsidR="00431024" w:rsidRDefault="00431024">
      <w:pPr>
        <w:rPr>
          <w:sz w:val="24"/>
          <w:szCs w:val="24"/>
        </w:rPr>
      </w:pPr>
    </w:p>
    <w:p w14:paraId="672461AB" w14:textId="77777777" w:rsidR="00431024" w:rsidRDefault="00431024">
      <w:pPr>
        <w:pStyle w:val="p"/>
      </w:pPr>
      <w:r>
        <w:rPr>
          <w:sz w:val="24"/>
          <w:szCs w:val="24"/>
        </w:rPr>
        <w:br/>
      </w:r>
      <w:r>
        <w:rPr>
          <w:b/>
          <w:bCs/>
        </w:rPr>
        <w:t xml:space="preserve">2.9.2. Schedule for Tax Payments or Deposits </w:t>
      </w:r>
      <w:r>
        <w:rPr>
          <w:b/>
          <w:bCs/>
        </w:rPr>
        <w:br/>
      </w:r>
      <w:r>
        <w:t xml:space="preserve">All companies that derive or expect to derive income, including business and rental income, are required to file a provisional tax return and pay provisional tax in two equal installments by the last day of the sixth and 12th months of the year of income. For a company with a default year of income ending on June 30, the first provisional tax </w:t>
      </w:r>
      <w:r>
        <w:lastRenderedPageBreak/>
        <w:t>return and provisional tax would be due on December 31 and the second installment on June 30. The provisional tax paid is credited against the company's full years' income tax declared in the final income tax return.</w:t>
      </w:r>
      <w:r>
        <w:rPr>
          <w:vertAlign w:val="superscript"/>
        </w:rPr>
        <w:t>5</w:t>
      </w:r>
      <w:r w:rsidRPr="0030192A">
        <w:rPr>
          <w:rStyle w:val="FootnoteReference"/>
        </w:rPr>
        <w:footnoteReference w:customMarkFollows="1" w:id="49"/>
        <w:t>4</w:t>
      </w:r>
    </w:p>
    <w:p w14:paraId="79C3C8CA" w14:textId="77777777" w:rsidR="00431024" w:rsidRDefault="00431024">
      <w:pPr>
        <w:pStyle w:val="p"/>
      </w:pPr>
      <w:r>
        <w:t xml:space="preserve">The final tax due for the year of income must be paid when filing the final tax return (see </w:t>
      </w:r>
      <w:r w:rsidR="005B1F31" w:rsidRPr="005B1F31">
        <w:rPr>
          <w:highlight w:val="yellow"/>
        </w:rPr>
        <w:t>[2.8.1]Section 2.8.1[end]</w:t>
      </w:r>
      <w:r>
        <w:t>). In the event the Commissioner has issued a notice of assessment to the taxpayer, payment must be made within 45 days from the date of service of that notice.</w:t>
      </w:r>
      <w:r>
        <w:rPr>
          <w:vertAlign w:val="superscript"/>
        </w:rPr>
        <w:t>5</w:t>
      </w:r>
      <w:r w:rsidRPr="0030192A">
        <w:rPr>
          <w:rStyle w:val="FootnoteReference"/>
        </w:rPr>
        <w:footnoteReference w:customMarkFollows="1" w:id="50"/>
        <w:t>5</w:t>
      </w:r>
    </w:p>
    <w:p w14:paraId="66FAEE42" w14:textId="77777777" w:rsidR="00431024" w:rsidRDefault="00431024">
      <w:pPr>
        <w:pStyle w:val="p"/>
      </w:pPr>
      <w:r>
        <w:rPr>
          <w:sz w:val="24"/>
          <w:szCs w:val="24"/>
        </w:rPr>
        <w:br/>
      </w:r>
      <w:r>
        <w:rPr>
          <w:b/>
          <w:bCs/>
        </w:rPr>
        <w:t xml:space="preserve">2.9.3. Electronic Payments </w:t>
      </w:r>
      <w:r>
        <w:rPr>
          <w:b/>
          <w:bCs/>
        </w:rPr>
        <w:br/>
      </w:r>
      <w:r>
        <w:t>Payment of tax may be made by electronic means or manually.</w:t>
      </w:r>
    </w:p>
    <w:p w14:paraId="43934400" w14:textId="77777777" w:rsidR="00431024" w:rsidRDefault="00431024">
      <w:pPr>
        <w:pStyle w:val="p"/>
      </w:pPr>
      <w:r>
        <w:rPr>
          <w:sz w:val="24"/>
          <w:szCs w:val="24"/>
        </w:rPr>
        <w:br/>
      </w:r>
      <w:r>
        <w:rPr>
          <w:b/>
          <w:bCs/>
        </w:rPr>
        <w:t xml:space="preserve">2.9.4. Interest and Penalties </w:t>
      </w:r>
      <w:r>
        <w:rPr>
          <w:b/>
          <w:bCs/>
        </w:rPr>
        <w:br/>
      </w:r>
      <w:r>
        <w:t>A company that fails to pay income tax or provisional tax or any tax withheld or required to be withheld on or before the due date for payment is liable to interest at a rate of two percent per month on the amount unpaid until the date payment is made.</w:t>
      </w:r>
      <w:r>
        <w:rPr>
          <w:vertAlign w:val="superscript"/>
        </w:rPr>
        <w:t>5</w:t>
      </w:r>
      <w:r w:rsidRPr="0030192A">
        <w:rPr>
          <w:rStyle w:val="FootnoteReference"/>
        </w:rPr>
        <w:footnoteReference w:customMarkFollows="1" w:id="51"/>
        <w:t>6</w:t>
      </w:r>
    </w:p>
    <w:p w14:paraId="03A48EAB" w14:textId="77777777" w:rsidR="00431024" w:rsidRDefault="00431024">
      <w:pPr>
        <w:pStyle w:val="p"/>
      </w:pPr>
      <w:r>
        <w:t>A company that underestimates its provisional tax by less than 90 percent of the actual tax payable for a given year is liable to a penal tax of 20 percent of the difference between the estimated tax and the actual tax payable.</w:t>
      </w:r>
    </w:p>
    <w:p w14:paraId="5B01E15A" w14:textId="77777777" w:rsidR="00D45913" w:rsidRPr="00D45913" w:rsidRDefault="00D45913" w:rsidP="00D45913">
      <w:pPr>
        <w:pStyle w:val="p"/>
        <w:ind w:firstLine="0"/>
      </w:pPr>
      <w:r w:rsidRPr="00D45913">
        <w:rPr>
          <w:i/>
          <w:iCs/>
        </w:rPr>
        <w:t>Other penalties include:</w:t>
      </w:r>
      <w:r w:rsidRPr="00D45913">
        <w:t xml:space="preserve"> </w:t>
      </w:r>
    </w:p>
    <w:p w14:paraId="722F327A" w14:textId="77777777" w:rsidR="00D45913" w:rsidRPr="00D45913" w:rsidRDefault="003931E2" w:rsidP="00D45913">
      <w:pPr>
        <w:pStyle w:val="p"/>
        <w:ind w:firstLine="0"/>
      </w:pPr>
      <w:r w:rsidRPr="00D7377F">
        <w:rPr>
          <w:noProof/>
        </w:rPr>
        <w:drawing>
          <wp:inline distT="0" distB="0" distL="0" distR="0" wp14:anchorId="39D5F581" wp14:editId="6038225D">
            <wp:extent cx="89535" cy="89535"/>
            <wp:effectExtent l="0" t="0" r="0" b="0"/>
            <wp:docPr id="40" name="Picture 149791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91224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D45913" w:rsidRPr="00D45913">
        <w:t xml:space="preserve"> for deliberate failure to maintain proper records for a tax period — double the amount of tax payable for the period to which the failure relates,</w:t>
      </w:r>
      <w:r w:rsidR="00D45913" w:rsidRPr="00D45913">
        <w:rPr>
          <w:vertAlign w:val="superscript"/>
        </w:rPr>
        <w:t>4</w:t>
      </w:r>
      <w:r w:rsidR="00D45913" w:rsidRPr="00D45913">
        <w:rPr>
          <w:vertAlign w:val="superscript"/>
        </w:rPr>
        <w:footnoteReference w:customMarkFollows="1" w:id="52"/>
        <w:t>0</w:t>
      </w:r>
      <w:r w:rsidR="00D45913" w:rsidRPr="00D45913">
        <w:t xml:space="preserve"> increasing to up to 2 million shillings and/or imprisonment of up to six years for knowingly or recklessly failing to maintain records;</w:t>
      </w:r>
      <w:r w:rsidR="00D45913" w:rsidRPr="00D45913">
        <w:rPr>
          <w:vertAlign w:val="superscript"/>
        </w:rPr>
        <w:t>4</w:t>
      </w:r>
      <w:r w:rsidR="00D45913" w:rsidRPr="00D45913">
        <w:rPr>
          <w:vertAlign w:val="superscript"/>
        </w:rPr>
        <w:footnoteReference w:customMarkFollows="1" w:id="53"/>
        <w:t>1</w:t>
      </w:r>
    </w:p>
    <w:p w14:paraId="17B06B08" w14:textId="77777777" w:rsidR="00D45913" w:rsidRPr="00D45913" w:rsidRDefault="003931E2" w:rsidP="00D45913">
      <w:pPr>
        <w:pStyle w:val="p"/>
        <w:ind w:firstLine="0"/>
      </w:pPr>
      <w:r w:rsidRPr="00D7377F">
        <w:rPr>
          <w:noProof/>
        </w:rPr>
        <w:drawing>
          <wp:inline distT="0" distB="0" distL="0" distR="0" wp14:anchorId="648B3515" wp14:editId="4B8044AA">
            <wp:extent cx="89535" cy="89535"/>
            <wp:effectExtent l="0" t="0" r="0" b="0"/>
            <wp:docPr id="41" name="Picture 1353013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01309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D45913" w:rsidRPr="00D45913">
        <w:t xml:space="preserve"> for knowingly or recklessly making false or misleading statements to reduce the tax liability — double the amount of the excess tax owed,</w:t>
      </w:r>
      <w:r w:rsidR="00D45913" w:rsidRPr="00D45913">
        <w:rPr>
          <w:vertAlign w:val="superscript"/>
        </w:rPr>
        <w:t>4</w:t>
      </w:r>
      <w:r w:rsidR="00D45913" w:rsidRPr="00D45913">
        <w:rPr>
          <w:vertAlign w:val="superscript"/>
        </w:rPr>
        <w:footnoteReference w:customMarkFollows="1" w:id="54"/>
        <w:t>2</w:t>
      </w:r>
      <w:r w:rsidR="00D45913" w:rsidRPr="00D45913">
        <w:t xml:space="preserve"> increasing to up to 110 million shillings and/or imprisonment of up to 10 years on conviction;</w:t>
      </w:r>
      <w:r w:rsidR="00D45913" w:rsidRPr="00D45913">
        <w:rPr>
          <w:vertAlign w:val="superscript"/>
        </w:rPr>
        <w:t>4</w:t>
      </w:r>
      <w:r w:rsidR="00D45913" w:rsidRPr="00D45913">
        <w:rPr>
          <w:vertAlign w:val="superscript"/>
        </w:rPr>
        <w:footnoteReference w:customMarkFollows="1" w:id="55"/>
        <w:t>3</w:t>
      </w:r>
    </w:p>
    <w:p w14:paraId="6606DD5B" w14:textId="77777777" w:rsidR="00D45913" w:rsidRPr="00D45913" w:rsidRDefault="003931E2" w:rsidP="00D45913">
      <w:pPr>
        <w:pStyle w:val="p"/>
        <w:ind w:firstLine="0"/>
      </w:pPr>
      <w:r w:rsidRPr="00D7377F">
        <w:rPr>
          <w:noProof/>
        </w:rPr>
        <w:drawing>
          <wp:inline distT="0" distB="0" distL="0" distR="0" wp14:anchorId="12D70607" wp14:editId="5E0EECF8">
            <wp:extent cx="89535" cy="89535"/>
            <wp:effectExtent l="0" t="0" r="0" b="0"/>
            <wp:docPr id="42" name="Picture 146674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74108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D45913" w:rsidRPr="00D45913">
        <w:t xml:space="preserve"> for underestimating provisional tax estimates — if the estimate is less than 90 percent of the actual chargeable income assessed for that year, a penalty equal to 20 percent of the difference between the provisional tax paid and the actual chargeable income for the year of income;</w:t>
      </w:r>
      <w:r w:rsidR="00D45913" w:rsidRPr="00D45913">
        <w:rPr>
          <w:vertAlign w:val="superscript"/>
        </w:rPr>
        <w:t>4</w:t>
      </w:r>
      <w:r w:rsidR="00D45913" w:rsidRPr="00D45913">
        <w:rPr>
          <w:vertAlign w:val="superscript"/>
        </w:rPr>
        <w:footnoteReference w:customMarkFollows="1" w:id="56"/>
        <w:t>4</w:t>
      </w:r>
      <w:r w:rsidR="00D45913" w:rsidRPr="00D45913">
        <w:t xml:space="preserve"> and</w:t>
      </w:r>
    </w:p>
    <w:p w14:paraId="3066E8E4" w14:textId="77777777" w:rsidR="00D45913" w:rsidRPr="00D45913" w:rsidRDefault="003931E2" w:rsidP="00D45913">
      <w:pPr>
        <w:pStyle w:val="p"/>
        <w:ind w:firstLine="0"/>
      </w:pPr>
      <w:r w:rsidRPr="00D7377F">
        <w:rPr>
          <w:noProof/>
        </w:rPr>
        <w:drawing>
          <wp:inline distT="0" distB="0" distL="0" distR="0" wp14:anchorId="7DA5C94C" wp14:editId="5C285554">
            <wp:extent cx="89535" cy="89535"/>
            <wp:effectExtent l="0" t="0" r="0" b="0"/>
            <wp:docPr id="43" name="Picture 2053299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2990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D45913" w:rsidRPr="00D45913">
        <w:t xml:space="preserve"> where a tax agent aids, abets, counsels, or induces another person to evade taxation — the higher of double the tax </w:t>
      </w:r>
      <w:r w:rsidR="00D45913" w:rsidRPr="00D45913">
        <w:lastRenderedPageBreak/>
        <w:t>evaded or 5 million shillings and/or imprisonment not exceeding five years.</w:t>
      </w:r>
      <w:r w:rsidR="00D45913" w:rsidRPr="00D45913">
        <w:rPr>
          <w:vertAlign w:val="superscript"/>
        </w:rPr>
        <w:t>4</w:t>
      </w:r>
      <w:r w:rsidR="00D45913" w:rsidRPr="00D45913">
        <w:rPr>
          <w:vertAlign w:val="superscript"/>
        </w:rPr>
        <w:footnoteReference w:customMarkFollows="1" w:id="57"/>
        <w:t>5</w:t>
      </w:r>
    </w:p>
    <w:p w14:paraId="77013DD4" w14:textId="77777777" w:rsidR="00D45913" w:rsidRDefault="00D45913" w:rsidP="0082722C">
      <w:pPr>
        <w:pStyle w:val="p"/>
        <w:ind w:firstLine="0"/>
      </w:pPr>
    </w:p>
    <w:p w14:paraId="05ADE767" w14:textId="77777777" w:rsidR="00D45913" w:rsidRDefault="00D45913" w:rsidP="0082722C">
      <w:pPr>
        <w:pStyle w:val="p"/>
        <w:ind w:firstLine="0"/>
      </w:pPr>
    </w:p>
    <w:p w14:paraId="7B9317C8" w14:textId="77777777" w:rsidR="00431024" w:rsidRDefault="00431024">
      <w:pPr>
        <w:pStyle w:val="p"/>
      </w:pPr>
      <w:r>
        <w:rPr>
          <w:sz w:val="24"/>
          <w:szCs w:val="24"/>
        </w:rPr>
        <w:br/>
      </w:r>
      <w:r>
        <w:rPr>
          <w:b/>
          <w:bCs/>
        </w:rPr>
        <w:t xml:space="preserve">2.10. Statute of Limitations </w:t>
      </w:r>
      <w:r>
        <w:rPr>
          <w:b/>
          <w:bCs/>
        </w:rPr>
        <w:br/>
      </w:r>
      <w:r>
        <w:t xml:space="preserve">The statute of limitations in Uganda is five years, during which period the URA may make an assessment of the taxpayers' chargeable income and establish the tax payable on it. The assessment can be made from the date: </w:t>
      </w:r>
    </w:p>
    <w:p w14:paraId="55044ACB" w14:textId="77777777" w:rsidR="00431024" w:rsidRDefault="003931E2">
      <w:pPr>
        <w:pStyle w:val="p"/>
      </w:pPr>
      <w:r w:rsidRPr="00D7377F">
        <w:rPr>
          <w:noProof/>
        </w:rPr>
        <w:drawing>
          <wp:inline distT="0" distB="0" distL="0" distR="0" wp14:anchorId="125E66F0" wp14:editId="4A9FBC7C">
            <wp:extent cx="89535" cy="89535"/>
            <wp:effectExtent l="0" t="0" r="0" b="0"/>
            <wp:docPr id="44"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a taxpayer defaults in furnishing a return of income; or</w:t>
      </w:r>
    </w:p>
    <w:p w14:paraId="20B62065" w14:textId="77777777" w:rsidR="00431024" w:rsidRDefault="003931E2">
      <w:pPr>
        <w:pStyle w:val="p"/>
      </w:pPr>
      <w:r w:rsidRPr="00D7377F">
        <w:rPr>
          <w:noProof/>
        </w:rPr>
        <w:drawing>
          <wp:inline distT="0" distB="0" distL="0" distR="0" wp14:anchorId="6D0EBCD5" wp14:editId="696F24C6">
            <wp:extent cx="89535" cy="89535"/>
            <wp:effectExtent l="0" t="0" r="0" b="0"/>
            <wp:docPr id="45"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the URA is not satisfied with the filed return.</w:t>
      </w:r>
      <w:r w:rsidR="00431024">
        <w:rPr>
          <w:vertAlign w:val="superscript"/>
        </w:rPr>
        <w:t>5</w:t>
      </w:r>
      <w:r w:rsidR="00431024" w:rsidRPr="0030192A">
        <w:rPr>
          <w:rStyle w:val="FootnoteReference"/>
        </w:rPr>
        <w:footnoteReference w:customMarkFollows="1" w:id="58"/>
        <w:t>7</w:t>
      </w:r>
    </w:p>
    <w:p w14:paraId="06058395" w14:textId="77777777" w:rsidR="00431024" w:rsidRDefault="00431024">
      <w:pPr>
        <w:rPr>
          <w:sz w:val="24"/>
          <w:szCs w:val="24"/>
        </w:rPr>
      </w:pPr>
    </w:p>
    <w:p w14:paraId="1C95AA25" w14:textId="77777777" w:rsidR="00431024" w:rsidRDefault="00431024">
      <w:pPr>
        <w:pStyle w:val="p"/>
      </w:pPr>
      <w:r>
        <w:t>An additional assessment can be made within three years of the first assessment, however, if there is any fraud, gross or willful neglect by or on behalf of a taxpayer, or discovery of new information, there is no time limit on when an assessment may be made.</w:t>
      </w:r>
      <w:r>
        <w:rPr>
          <w:vertAlign w:val="superscript"/>
        </w:rPr>
        <w:t>5</w:t>
      </w:r>
      <w:r w:rsidRPr="0030192A">
        <w:rPr>
          <w:rStyle w:val="FootnoteReference"/>
        </w:rPr>
        <w:footnoteReference w:customMarkFollows="1" w:id="59"/>
        <w:t>8</w:t>
      </w:r>
    </w:p>
    <w:p w14:paraId="34AD1E11" w14:textId="77777777" w:rsidR="00431024" w:rsidRDefault="00431024">
      <w:pPr>
        <w:pStyle w:val="p"/>
      </w:pPr>
      <w:r>
        <w:rPr>
          <w:sz w:val="24"/>
          <w:szCs w:val="24"/>
        </w:rPr>
        <w:br/>
      </w:r>
      <w:r>
        <w:rPr>
          <w:b/>
          <w:bCs/>
        </w:rPr>
        <w:t xml:space="preserve">3. Corporate Tax Rates </w:t>
      </w:r>
      <w:r>
        <w:rPr>
          <w:b/>
          <w:bCs/>
        </w:rPr>
        <w:br/>
      </w:r>
      <w:r>
        <w:rPr>
          <w:b/>
          <w:bCs/>
        </w:rPr>
        <w:br/>
        <w:t xml:space="preserve">3.1. National Taxes </w:t>
      </w:r>
      <w:r>
        <w:rPr>
          <w:b/>
          <w:bCs/>
        </w:rPr>
        <w:br/>
      </w:r>
      <w:r>
        <w:rPr>
          <w:b/>
          <w:bCs/>
        </w:rPr>
        <w:br/>
        <w:t xml:space="preserve">3.1.1. Corporate Tax Rates </w:t>
      </w:r>
      <w:r>
        <w:rPr>
          <w:b/>
          <w:bCs/>
        </w:rPr>
        <w:br/>
      </w:r>
      <w:r>
        <w:t>Current rate: 30 percent.</w:t>
      </w:r>
      <w:r>
        <w:rPr>
          <w:vertAlign w:val="superscript"/>
        </w:rPr>
        <w:t>5</w:t>
      </w:r>
      <w:r w:rsidRPr="0030192A">
        <w:rPr>
          <w:rStyle w:val="FootnoteReference"/>
        </w:rPr>
        <w:footnoteReference w:customMarkFollows="1" w:id="60"/>
        <w:t>9</w:t>
      </w:r>
    </w:p>
    <w:p w14:paraId="706736BC" w14:textId="77777777" w:rsidR="00431024" w:rsidRDefault="00431024">
      <w:pPr>
        <w:pStyle w:val="p"/>
      </w:pPr>
      <w:r>
        <w:t>Both resident and nonresident corporations</w:t>
      </w:r>
      <w:r w:rsidR="0096182C">
        <w:t>, other than mining companies</w:t>
      </w:r>
      <w:r>
        <w:t xml:space="preserve"> are, </w:t>
      </w:r>
      <w:r w:rsidR="0096182C">
        <w:t xml:space="preserve">generally </w:t>
      </w:r>
      <w:r>
        <w:t>subject to tax at the rate of 30 percent.</w:t>
      </w:r>
    </w:p>
    <w:p w14:paraId="42ABABDB" w14:textId="77777777" w:rsidR="005A5416" w:rsidRDefault="005A5416">
      <w:pPr>
        <w:pStyle w:val="p"/>
      </w:pPr>
      <w:r w:rsidRPr="005A5416">
        <w:t>Rental income from leasing immovable property is subject to the same corporate tax rate of 30 percent, but is given a special computation. A standard deduction of 50 percent of the rental income is allowed when the expenditures and losses exceed 50 percent of the rental income in the year of income</w:t>
      </w:r>
      <w:r w:rsidR="00D45913">
        <w:t>.</w:t>
      </w:r>
    </w:p>
    <w:p w14:paraId="4EECB737" w14:textId="77777777" w:rsidR="00431024" w:rsidRDefault="00431024">
      <w:pPr>
        <w:pStyle w:val="p"/>
      </w:pPr>
      <w:r>
        <w:rPr>
          <w:sz w:val="24"/>
          <w:szCs w:val="24"/>
        </w:rPr>
        <w:br/>
      </w:r>
      <w:r>
        <w:rPr>
          <w:b/>
          <w:bCs/>
        </w:rPr>
        <w:t xml:space="preserve">3.1.2. Alternative Tax Regime </w:t>
      </w:r>
      <w:r>
        <w:rPr>
          <w:b/>
          <w:bCs/>
        </w:rPr>
        <w:br/>
      </w:r>
      <w:r>
        <w:t>A</w:t>
      </w:r>
      <w:r w:rsidR="00E04F72">
        <w:t xml:space="preserve"> presumptive </w:t>
      </w:r>
      <w:r>
        <w:t>tax rate regime applies to small businesses. A resident corporation with a gross turnover of less than 150 million shillings can elect to be governed by the standard corporate tax rate (see section 3.1.1), or apply progressive tax rates</w:t>
      </w:r>
      <w:r w:rsidR="000101EC">
        <w:t xml:space="preserve"> based on turnover.</w:t>
      </w:r>
      <w:r>
        <w:rPr>
          <w:vertAlign w:val="superscript"/>
        </w:rPr>
        <w:t>6</w:t>
      </w:r>
      <w:r w:rsidRPr="0030192A">
        <w:rPr>
          <w:rStyle w:val="FootnoteReference"/>
        </w:rPr>
        <w:footnoteReference w:customMarkFollows="1" w:id="61"/>
        <w:t>2</w:t>
      </w:r>
      <w:r w:rsidR="000101EC">
        <w:t xml:space="preserve"> There are two schedules, depending on whether the taxpayer has records or not (the latter assuming that the taxpayer’s turnover is always at the top of each bank):</w:t>
      </w:r>
    </w:p>
    <w:p w14:paraId="6A3D9DD5" w14:textId="77777777" w:rsidR="00431024" w:rsidRDefault="00431024">
      <w:pPr>
        <w:pStyle w:val="p"/>
      </w:pPr>
      <w:r>
        <w:rPr>
          <w:i/>
          <w:iCs/>
        </w:rPr>
        <w:t>Tax rates on annual gross turnover with records</w:t>
      </w:r>
      <w:r>
        <w:t xml:space="preserve"> </w:t>
      </w:r>
    </w:p>
    <w:p w14:paraId="58DCE0F3" w14:textId="77777777" w:rsidR="00431024" w:rsidRDefault="003931E2">
      <w:pPr>
        <w:pStyle w:val="p"/>
      </w:pPr>
      <w:r w:rsidRPr="00D7377F">
        <w:rPr>
          <w:noProof/>
        </w:rPr>
        <w:drawing>
          <wp:inline distT="0" distB="0" distL="0" distR="0" wp14:anchorId="67E2A142" wp14:editId="7C515F4D">
            <wp:extent cx="89535" cy="89535"/>
            <wp:effectExtent l="0" t="0" r="0" b="0"/>
            <wp:docPr id="46"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up to 10 million shillings — exempt;</w:t>
      </w:r>
    </w:p>
    <w:p w14:paraId="2CAEABB0" w14:textId="77777777" w:rsidR="00431024" w:rsidRDefault="003931E2">
      <w:pPr>
        <w:pStyle w:val="p"/>
      </w:pPr>
      <w:r w:rsidRPr="00D7377F">
        <w:rPr>
          <w:noProof/>
        </w:rPr>
        <w:drawing>
          <wp:inline distT="0" distB="0" distL="0" distR="0" wp14:anchorId="58C2169D" wp14:editId="28EA78CD">
            <wp:extent cx="89535" cy="89535"/>
            <wp:effectExtent l="0" t="0" r="0" b="0"/>
            <wp:docPr id="47"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exceeding 10 million shillings and up to 30 million shillings — 0.4 percent of the amount exceeding 10 million </w:t>
      </w:r>
      <w:r w:rsidR="00431024">
        <w:lastRenderedPageBreak/>
        <w:t>shillings;</w:t>
      </w:r>
    </w:p>
    <w:p w14:paraId="43FD3782" w14:textId="77777777" w:rsidR="00431024" w:rsidRDefault="003931E2">
      <w:pPr>
        <w:pStyle w:val="p"/>
      </w:pPr>
      <w:r w:rsidRPr="00D7377F">
        <w:rPr>
          <w:noProof/>
        </w:rPr>
        <w:drawing>
          <wp:inline distT="0" distB="0" distL="0" distR="0" wp14:anchorId="46291C4D" wp14:editId="322F88EB">
            <wp:extent cx="89535" cy="89535"/>
            <wp:effectExtent l="0" t="0" r="0" b="0"/>
            <wp:docPr id="48"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exceeding 30 million shillings and up to 50 million shillings — 8</w:t>
      </w:r>
      <w:r w:rsidR="0096182C">
        <w:t>0</w:t>
      </w:r>
      <w:r w:rsidR="00431024">
        <w:t>,000 shillings plus 0.5 percent of the amount exceeding 30 million shillings;</w:t>
      </w:r>
    </w:p>
    <w:p w14:paraId="64475562" w14:textId="77777777" w:rsidR="00431024" w:rsidRDefault="003931E2">
      <w:pPr>
        <w:pStyle w:val="p"/>
      </w:pPr>
      <w:r w:rsidRPr="00D7377F">
        <w:rPr>
          <w:noProof/>
        </w:rPr>
        <w:drawing>
          <wp:inline distT="0" distB="0" distL="0" distR="0" wp14:anchorId="64A47C21" wp14:editId="153AF940">
            <wp:extent cx="89535" cy="89535"/>
            <wp:effectExtent l="0" t="0" r="0" b="0"/>
            <wp:docPr id="49"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exceeding 50 million shillings and up to 80 million shillings — 180,000 shillings plus 0.6 percent of the amount exceeding 50 million shillings; and</w:t>
      </w:r>
    </w:p>
    <w:p w14:paraId="1FA384AB" w14:textId="77777777" w:rsidR="00431024" w:rsidRDefault="003931E2">
      <w:pPr>
        <w:pStyle w:val="p"/>
      </w:pPr>
      <w:r w:rsidRPr="00D7377F">
        <w:rPr>
          <w:noProof/>
        </w:rPr>
        <w:drawing>
          <wp:inline distT="0" distB="0" distL="0" distR="0" wp14:anchorId="1278B803" wp14:editId="3C380190">
            <wp:extent cx="89535" cy="89535"/>
            <wp:effectExtent l="0" t="0" r="0" b="0"/>
            <wp:docPr id="50"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exceeding 80 million shillings and up to 150 million shillings — 360,000 shillings plus 0.7 percent of the amount exceeding 80 million shillings.</w:t>
      </w:r>
    </w:p>
    <w:p w14:paraId="5F255575" w14:textId="77777777" w:rsidR="00431024" w:rsidRDefault="00431024">
      <w:pPr>
        <w:rPr>
          <w:sz w:val="24"/>
          <w:szCs w:val="24"/>
        </w:rPr>
      </w:pPr>
    </w:p>
    <w:p w14:paraId="364C5254" w14:textId="77777777" w:rsidR="00431024" w:rsidRDefault="00431024">
      <w:pPr>
        <w:pStyle w:val="p"/>
      </w:pPr>
      <w:r>
        <w:rPr>
          <w:i/>
          <w:iCs/>
        </w:rPr>
        <w:t>Flat tax on annual gross turnover without records</w:t>
      </w:r>
      <w:r>
        <w:t xml:space="preserve"> </w:t>
      </w:r>
    </w:p>
    <w:p w14:paraId="28FF3EC7" w14:textId="77777777" w:rsidR="00431024" w:rsidRDefault="003931E2">
      <w:pPr>
        <w:pStyle w:val="p"/>
      </w:pPr>
      <w:r w:rsidRPr="00D7377F">
        <w:rPr>
          <w:noProof/>
        </w:rPr>
        <w:drawing>
          <wp:inline distT="0" distB="0" distL="0" distR="0" wp14:anchorId="4BA0CD2D" wp14:editId="72EC0558">
            <wp:extent cx="89535" cy="89535"/>
            <wp:effectExtent l="0" t="0" r="0" b="0"/>
            <wp:docPr id="51"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up to 10 million shillings — exempt;</w:t>
      </w:r>
    </w:p>
    <w:p w14:paraId="63181F19" w14:textId="77777777" w:rsidR="00431024" w:rsidRDefault="003931E2">
      <w:pPr>
        <w:pStyle w:val="p"/>
      </w:pPr>
      <w:r w:rsidRPr="00D7377F">
        <w:rPr>
          <w:noProof/>
        </w:rPr>
        <w:drawing>
          <wp:inline distT="0" distB="0" distL="0" distR="0" wp14:anchorId="6396048A" wp14:editId="0D3920D7">
            <wp:extent cx="89535" cy="89535"/>
            <wp:effectExtent l="0" t="0" r="0" b="0"/>
            <wp:docPr id="52"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exceeding 10 million shillings and up to 30 million shillings — 80,000 shillings;</w:t>
      </w:r>
    </w:p>
    <w:p w14:paraId="2F6DF4E0" w14:textId="77777777" w:rsidR="00431024" w:rsidRDefault="003931E2">
      <w:pPr>
        <w:pStyle w:val="p"/>
      </w:pPr>
      <w:r w:rsidRPr="00D7377F">
        <w:rPr>
          <w:noProof/>
        </w:rPr>
        <w:drawing>
          <wp:inline distT="0" distB="0" distL="0" distR="0" wp14:anchorId="63AD9180" wp14:editId="14B3BA96">
            <wp:extent cx="89535" cy="89535"/>
            <wp:effectExtent l="0" t="0" r="0" b="0"/>
            <wp:docPr id="53"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exceeding 30 million shillings and up to 50 million shillings — 200,000 shillings;</w:t>
      </w:r>
    </w:p>
    <w:p w14:paraId="2857F358" w14:textId="77777777" w:rsidR="00431024" w:rsidRDefault="003931E2">
      <w:pPr>
        <w:pStyle w:val="p"/>
      </w:pPr>
      <w:r w:rsidRPr="00D7377F">
        <w:rPr>
          <w:noProof/>
        </w:rPr>
        <w:drawing>
          <wp:inline distT="0" distB="0" distL="0" distR="0" wp14:anchorId="4E09D339" wp14:editId="69F91D87">
            <wp:extent cx="89535" cy="89535"/>
            <wp:effectExtent l="0" t="0" r="0" b="0"/>
            <wp:docPr id="54"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exceeding 50 million shillings and up to 80 million shillings — 400,000 shillings; and</w:t>
      </w:r>
    </w:p>
    <w:p w14:paraId="511F32C3" w14:textId="77777777" w:rsidR="00431024" w:rsidRDefault="003931E2">
      <w:pPr>
        <w:pStyle w:val="p"/>
      </w:pPr>
      <w:r w:rsidRPr="00D7377F">
        <w:rPr>
          <w:noProof/>
        </w:rPr>
        <w:drawing>
          <wp:inline distT="0" distB="0" distL="0" distR="0" wp14:anchorId="14EEAC7F" wp14:editId="235C3F8F">
            <wp:extent cx="89535" cy="89535"/>
            <wp:effectExtent l="0" t="0" r="0" b="0"/>
            <wp:docPr id="55"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exceeding 80 million shillings and up to 150 million shillings — 900,000 shillings.</w:t>
      </w:r>
    </w:p>
    <w:p w14:paraId="34EB3ABB" w14:textId="77777777" w:rsidR="00431024" w:rsidRDefault="00431024">
      <w:pPr>
        <w:rPr>
          <w:sz w:val="24"/>
          <w:szCs w:val="24"/>
        </w:rPr>
      </w:pPr>
    </w:p>
    <w:p w14:paraId="3F38F43F" w14:textId="77777777" w:rsidR="00431024" w:rsidRDefault="00431024">
      <w:pPr>
        <w:pStyle w:val="p"/>
      </w:pPr>
      <w:r>
        <w:t>The tax amount as calculated using the above rates can be reduced by any withholding taxes and provisional taxes paid by the taxpayer during the relevant year of income.</w:t>
      </w:r>
      <w:r>
        <w:rPr>
          <w:vertAlign w:val="superscript"/>
        </w:rPr>
        <w:t>6</w:t>
      </w:r>
      <w:r w:rsidRPr="0030192A">
        <w:rPr>
          <w:rStyle w:val="FootnoteReference"/>
        </w:rPr>
        <w:footnoteReference w:customMarkFollows="1" w:id="62"/>
        <w:t>3</w:t>
      </w:r>
    </w:p>
    <w:p w14:paraId="06FEE656" w14:textId="77777777" w:rsidR="00431024" w:rsidRDefault="00431024">
      <w:pPr>
        <w:pStyle w:val="p"/>
      </w:pPr>
      <w:r>
        <w:t>The alternative tax regime does not apply to resident taxpayers who are in the business of providing medical, dental, architectural, engineering, accounting, legal, or other professional services, public entertainment services, public utility services, or construction services.</w:t>
      </w:r>
      <w:r>
        <w:rPr>
          <w:vertAlign w:val="superscript"/>
        </w:rPr>
        <w:t>6</w:t>
      </w:r>
      <w:r w:rsidRPr="0030192A">
        <w:rPr>
          <w:rStyle w:val="FootnoteReference"/>
        </w:rPr>
        <w:footnoteReference w:customMarkFollows="1" w:id="63"/>
        <w:t>4</w:t>
      </w:r>
    </w:p>
    <w:p w14:paraId="7BD735B9" w14:textId="77777777" w:rsidR="00431024" w:rsidRDefault="00431024">
      <w:pPr>
        <w:pStyle w:val="p"/>
      </w:pPr>
      <w:r>
        <w:rPr>
          <w:sz w:val="24"/>
          <w:szCs w:val="24"/>
        </w:rPr>
        <w:br/>
      </w:r>
      <w:r>
        <w:rPr>
          <w:b/>
          <w:bCs/>
        </w:rPr>
        <w:t xml:space="preserve">3.1.3. Special Reduced Rates or Regimes </w:t>
      </w:r>
      <w:r>
        <w:rPr>
          <w:b/>
          <w:bCs/>
        </w:rPr>
        <w:br/>
      </w:r>
      <w:r>
        <w:t xml:space="preserve">There are no special reduced rates or regimes other than those referred to in </w:t>
      </w:r>
      <w:r w:rsidR="005B1F31" w:rsidRPr="005B1F31">
        <w:rPr>
          <w:highlight w:val="yellow"/>
        </w:rPr>
        <w:t>[3.1.2]Section 3.1.2[end]</w:t>
      </w:r>
      <w:r>
        <w:t>.</w:t>
      </w:r>
    </w:p>
    <w:p w14:paraId="0A34FB2A" w14:textId="77777777" w:rsidR="00431024" w:rsidRDefault="00431024">
      <w:pPr>
        <w:pStyle w:val="p"/>
      </w:pPr>
      <w:r>
        <w:rPr>
          <w:sz w:val="24"/>
          <w:szCs w:val="24"/>
        </w:rPr>
        <w:br/>
      </w:r>
      <w:r>
        <w:rPr>
          <w:b/>
          <w:bCs/>
        </w:rPr>
        <w:t xml:space="preserve">3.1.4. Special Additional Taxes or Levies </w:t>
      </w:r>
      <w:r>
        <w:rPr>
          <w:b/>
          <w:bCs/>
        </w:rPr>
        <w:br/>
      </w:r>
      <w:r>
        <w:t>For other taxes, see Section 9.</w:t>
      </w:r>
    </w:p>
    <w:p w14:paraId="2D941E99" w14:textId="77777777" w:rsidR="00431024" w:rsidRDefault="00431024">
      <w:pPr>
        <w:pStyle w:val="p"/>
      </w:pPr>
      <w:r>
        <w:rPr>
          <w:sz w:val="24"/>
          <w:szCs w:val="24"/>
        </w:rPr>
        <w:br/>
      </w:r>
      <w:r>
        <w:rPr>
          <w:b/>
          <w:bCs/>
        </w:rPr>
        <w:t xml:space="preserve">3.2. State, Cantonal, Provincial or Other Local Taxes </w:t>
      </w:r>
      <w:r>
        <w:rPr>
          <w:b/>
          <w:bCs/>
        </w:rPr>
        <w:br/>
      </w:r>
      <w:r>
        <w:rPr>
          <w:b/>
          <w:bCs/>
        </w:rPr>
        <w:br/>
        <w:t xml:space="preserve">3.2.1. Main Rates </w:t>
      </w:r>
      <w:r>
        <w:rPr>
          <w:b/>
          <w:bCs/>
        </w:rPr>
        <w:br/>
      </w:r>
      <w:r>
        <w:t>No income taxes are levied on corporations at the local authority level.</w:t>
      </w:r>
      <w:r>
        <w:rPr>
          <w:vertAlign w:val="superscript"/>
        </w:rPr>
        <w:t>6</w:t>
      </w:r>
      <w:r w:rsidRPr="0030192A">
        <w:rPr>
          <w:rStyle w:val="FootnoteReference"/>
        </w:rPr>
        <w:footnoteReference w:customMarkFollows="1" w:id="64"/>
        <w:t>5</w:t>
      </w:r>
    </w:p>
    <w:p w14:paraId="2666B118" w14:textId="77777777" w:rsidR="00431024" w:rsidRDefault="00431024">
      <w:pPr>
        <w:pStyle w:val="p"/>
      </w:pPr>
      <w:r>
        <w:rPr>
          <w:sz w:val="24"/>
          <w:szCs w:val="24"/>
        </w:rPr>
        <w:br/>
      </w:r>
      <w:r>
        <w:rPr>
          <w:b/>
          <w:bCs/>
        </w:rPr>
        <w:t xml:space="preserve">3.2.2. Reduced Rates </w:t>
      </w:r>
      <w:r>
        <w:rPr>
          <w:b/>
          <w:bCs/>
        </w:rPr>
        <w:br/>
      </w:r>
      <w:r>
        <w:t>No income taxes are levied on corporations at the local authority level.</w:t>
      </w:r>
    </w:p>
    <w:p w14:paraId="4CA4B392" w14:textId="77777777" w:rsidR="00431024" w:rsidRDefault="00431024">
      <w:pPr>
        <w:pStyle w:val="p"/>
      </w:pPr>
      <w:r>
        <w:rPr>
          <w:sz w:val="24"/>
          <w:szCs w:val="24"/>
        </w:rPr>
        <w:br/>
      </w:r>
      <w:r>
        <w:rPr>
          <w:b/>
          <w:bCs/>
        </w:rPr>
        <w:t xml:space="preserve">3.2.3. Income Tax Base </w:t>
      </w:r>
      <w:r>
        <w:rPr>
          <w:b/>
          <w:bCs/>
        </w:rPr>
        <w:br/>
      </w:r>
      <w:r>
        <w:t>No income taxes are levied on corporations at the local authority level.</w:t>
      </w:r>
    </w:p>
    <w:p w14:paraId="6589B750" w14:textId="77777777" w:rsidR="00431024" w:rsidRDefault="00431024">
      <w:pPr>
        <w:pStyle w:val="p"/>
      </w:pPr>
      <w:r>
        <w:rPr>
          <w:sz w:val="24"/>
          <w:szCs w:val="24"/>
        </w:rPr>
        <w:lastRenderedPageBreak/>
        <w:br/>
      </w:r>
      <w:r>
        <w:rPr>
          <w:b/>
          <w:bCs/>
        </w:rPr>
        <w:t xml:space="preserve">3.2.4. Income Tax Deductions </w:t>
      </w:r>
      <w:r>
        <w:rPr>
          <w:b/>
          <w:bCs/>
        </w:rPr>
        <w:br/>
      </w:r>
      <w:r>
        <w:t>No income taxes are levied on corporations at the local authority level.</w:t>
      </w:r>
    </w:p>
    <w:p w14:paraId="6F4A58A4" w14:textId="77777777" w:rsidR="00431024" w:rsidRDefault="00431024">
      <w:pPr>
        <w:pStyle w:val="p"/>
      </w:pPr>
      <w:r>
        <w:rPr>
          <w:sz w:val="24"/>
          <w:szCs w:val="24"/>
        </w:rPr>
        <w:br/>
      </w:r>
      <w:r>
        <w:rPr>
          <w:b/>
          <w:bCs/>
        </w:rPr>
        <w:t xml:space="preserve">3.2.5. Incentives </w:t>
      </w:r>
      <w:r>
        <w:rPr>
          <w:b/>
          <w:bCs/>
        </w:rPr>
        <w:br/>
      </w:r>
      <w:r>
        <w:t>No income taxes are levied on corporations at the local authority level.</w:t>
      </w:r>
    </w:p>
    <w:p w14:paraId="123790F4" w14:textId="77777777" w:rsidR="00431024" w:rsidRDefault="00431024">
      <w:pPr>
        <w:pStyle w:val="p"/>
      </w:pPr>
      <w:r>
        <w:rPr>
          <w:sz w:val="24"/>
          <w:szCs w:val="24"/>
        </w:rPr>
        <w:br/>
      </w:r>
      <w:r>
        <w:rPr>
          <w:b/>
          <w:bCs/>
        </w:rPr>
        <w:t xml:space="preserve">3.2.6. Non-Income Taxes in States </w:t>
      </w:r>
      <w:r>
        <w:rPr>
          <w:b/>
          <w:bCs/>
        </w:rPr>
        <w:br/>
      </w:r>
      <w:r>
        <w:t xml:space="preserve">The Local Governments Act authorizes local governments to levy and collect taxes, including local government hotel tax to be charged on all hotel and lodge room occupants, and local service tax to be levied on all persons in gainful employment or who are practicing any profession or on </w:t>
      </w:r>
      <w:r w:rsidR="006C16C4">
        <w:t>businesspersons</w:t>
      </w:r>
      <w:r>
        <w:t xml:space="preserve"> and commercial farmers producing on a large scale.</w:t>
      </w:r>
      <w:r>
        <w:rPr>
          <w:vertAlign w:val="superscript"/>
        </w:rPr>
        <w:t>6</w:t>
      </w:r>
      <w:r w:rsidRPr="0030192A">
        <w:rPr>
          <w:rStyle w:val="FootnoteReference"/>
        </w:rPr>
        <w:footnoteReference w:customMarkFollows="1" w:id="65"/>
        <w:t>6</w:t>
      </w:r>
    </w:p>
    <w:p w14:paraId="78C0A067" w14:textId="77777777" w:rsidR="00431024" w:rsidRDefault="00431024">
      <w:pPr>
        <w:pStyle w:val="p"/>
      </w:pPr>
      <w:r>
        <w:rPr>
          <w:sz w:val="24"/>
          <w:szCs w:val="24"/>
        </w:rPr>
        <w:br/>
      </w:r>
      <w:r>
        <w:rPr>
          <w:b/>
          <w:bCs/>
        </w:rPr>
        <w:t xml:space="preserve">3.3. Taxes Imposed as a Penalty </w:t>
      </w:r>
      <w:r>
        <w:rPr>
          <w:b/>
          <w:bCs/>
        </w:rPr>
        <w:br/>
      </w:r>
      <w:r>
        <w:t>In Uganda, there are no taxes imposed as a penalty.</w:t>
      </w:r>
    </w:p>
    <w:p w14:paraId="10D67F5D" w14:textId="77777777" w:rsidR="00431024" w:rsidRDefault="00431024">
      <w:pPr>
        <w:pStyle w:val="p"/>
      </w:pPr>
      <w:r>
        <w:rPr>
          <w:sz w:val="24"/>
          <w:szCs w:val="24"/>
        </w:rPr>
        <w:br/>
      </w:r>
      <w:r>
        <w:rPr>
          <w:b/>
          <w:bCs/>
        </w:rPr>
        <w:t xml:space="preserve">4. Corporate Tax Capital Gains, Losses, Group Treatment </w:t>
      </w:r>
      <w:r>
        <w:rPr>
          <w:b/>
          <w:bCs/>
        </w:rPr>
        <w:br/>
      </w:r>
      <w:r>
        <w:rPr>
          <w:b/>
          <w:bCs/>
        </w:rPr>
        <w:br/>
        <w:t xml:space="preserve">4.1. Taxation of Corporate Capital Gains </w:t>
      </w:r>
      <w:r>
        <w:rPr>
          <w:b/>
          <w:bCs/>
        </w:rPr>
        <w:br/>
      </w:r>
      <w:r>
        <w:t>Generally, capital gains are taxed as ordinary income at the normal corporate tax rate of 30 percent in Uganda.</w:t>
      </w:r>
      <w:r>
        <w:rPr>
          <w:vertAlign w:val="superscript"/>
        </w:rPr>
        <w:t>6</w:t>
      </w:r>
      <w:r w:rsidRPr="0030192A">
        <w:rPr>
          <w:rStyle w:val="FootnoteReference"/>
        </w:rPr>
        <w:footnoteReference w:customMarkFollows="1" w:id="66"/>
        <w:t>7</w:t>
      </w:r>
    </w:p>
    <w:p w14:paraId="0FE0D4A6" w14:textId="77777777" w:rsidR="00431024" w:rsidRDefault="00431024">
      <w:pPr>
        <w:pStyle w:val="p"/>
      </w:pPr>
      <w:r>
        <w:rPr>
          <w:sz w:val="24"/>
          <w:szCs w:val="24"/>
        </w:rPr>
        <w:br/>
      </w:r>
      <w:r>
        <w:rPr>
          <w:b/>
          <w:bCs/>
        </w:rPr>
        <w:t xml:space="preserve">4.2. Definition of Corporate Capital Gains </w:t>
      </w:r>
      <w:r>
        <w:rPr>
          <w:b/>
          <w:bCs/>
        </w:rPr>
        <w:br/>
      </w:r>
      <w:r>
        <w:t>A capital gain from the disposal of an asset is the excess of the consideration received for the disposal over the cost base at time of disposal, including the market value of any consideration received in kind for the asset. A capital loss from the disposal of an asset is the excess of the cost base of the asset at the time of disposal over the consideration received for the disposal.</w:t>
      </w:r>
      <w:r>
        <w:rPr>
          <w:vertAlign w:val="superscript"/>
        </w:rPr>
        <w:t>6</w:t>
      </w:r>
      <w:r w:rsidRPr="0030192A">
        <w:rPr>
          <w:rStyle w:val="FootnoteReference"/>
        </w:rPr>
        <w:footnoteReference w:customMarkFollows="1" w:id="67"/>
        <w:t>8</w:t>
      </w:r>
    </w:p>
    <w:p w14:paraId="3F4AB12E" w14:textId="77777777" w:rsidR="00431024" w:rsidRDefault="00431024">
      <w:pPr>
        <w:pStyle w:val="p"/>
      </w:pPr>
      <w:r>
        <w:t xml:space="preserve">An asset is considered disposed of if it has been: </w:t>
      </w:r>
    </w:p>
    <w:p w14:paraId="2F7C197D" w14:textId="77777777" w:rsidR="00431024" w:rsidRDefault="003931E2">
      <w:pPr>
        <w:pStyle w:val="p"/>
      </w:pPr>
      <w:r w:rsidRPr="00D7377F">
        <w:rPr>
          <w:noProof/>
        </w:rPr>
        <w:drawing>
          <wp:inline distT="0" distB="0" distL="0" distR="0" wp14:anchorId="24FF0600" wp14:editId="6695F88D">
            <wp:extent cx="89535" cy="89535"/>
            <wp:effectExtent l="0" t="0" r="0" b="0"/>
            <wp:docPr id="56"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sold, exchanged, redeemed, or distributed by the taxpayer;</w:t>
      </w:r>
    </w:p>
    <w:p w14:paraId="46EA99D7" w14:textId="77777777" w:rsidR="00431024" w:rsidRDefault="003931E2">
      <w:pPr>
        <w:pStyle w:val="p"/>
      </w:pPr>
      <w:r w:rsidRPr="00D7377F">
        <w:rPr>
          <w:noProof/>
        </w:rPr>
        <w:drawing>
          <wp:inline distT="0" distB="0" distL="0" distR="0" wp14:anchorId="226D2F29" wp14:editId="51B70DFD">
            <wp:extent cx="89535" cy="89535"/>
            <wp:effectExtent l="0" t="0" r="0" b="0"/>
            <wp:docPr id="57"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transferred by way of gift; or</w:t>
      </w:r>
    </w:p>
    <w:p w14:paraId="311CA73F" w14:textId="77777777" w:rsidR="00431024" w:rsidRDefault="003931E2">
      <w:pPr>
        <w:pStyle w:val="p"/>
      </w:pPr>
      <w:r w:rsidRPr="00D7377F">
        <w:rPr>
          <w:noProof/>
        </w:rPr>
        <w:drawing>
          <wp:inline distT="0" distB="0" distL="0" distR="0" wp14:anchorId="76A0716F" wp14:editId="042C96F4">
            <wp:extent cx="89535" cy="89535"/>
            <wp:effectExtent l="0" t="0" r="0" b="0"/>
            <wp:docPr id="58"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destroyed or lost.</w:t>
      </w:r>
    </w:p>
    <w:p w14:paraId="3348E312" w14:textId="77777777" w:rsidR="00431024" w:rsidRDefault="00431024">
      <w:pPr>
        <w:rPr>
          <w:sz w:val="24"/>
          <w:szCs w:val="24"/>
        </w:rPr>
      </w:pPr>
    </w:p>
    <w:p w14:paraId="0E3BF273" w14:textId="77777777" w:rsidR="00431024" w:rsidRDefault="00431024">
      <w:pPr>
        <w:pStyle w:val="p"/>
      </w:pPr>
      <w:r>
        <w:t>A disposal of an asset includes a disposal of part of an asset.</w:t>
      </w:r>
      <w:r>
        <w:rPr>
          <w:vertAlign w:val="superscript"/>
        </w:rPr>
        <w:t>6</w:t>
      </w:r>
      <w:r w:rsidRPr="0030192A">
        <w:rPr>
          <w:rStyle w:val="FootnoteReference"/>
        </w:rPr>
        <w:footnoteReference w:customMarkFollows="1" w:id="68"/>
        <w:t>9</w:t>
      </w:r>
    </w:p>
    <w:p w14:paraId="2CD0CF24" w14:textId="77777777" w:rsidR="00431024" w:rsidRDefault="00431024">
      <w:pPr>
        <w:pStyle w:val="p"/>
      </w:pPr>
      <w:r>
        <w:rPr>
          <w:sz w:val="24"/>
          <w:szCs w:val="24"/>
        </w:rPr>
        <w:br/>
      </w:r>
      <w:r>
        <w:rPr>
          <w:b/>
          <w:bCs/>
        </w:rPr>
        <w:t xml:space="preserve">4.3. Computation </w:t>
      </w:r>
      <w:r>
        <w:rPr>
          <w:b/>
          <w:bCs/>
        </w:rPr>
        <w:br/>
      </w:r>
      <w:r>
        <w:t xml:space="preserve">When calculating the difference between the cost base and the consideration received on disposal of the asset to establish the capital gain or loss made, the cost base </w:t>
      </w:r>
      <w:r w:rsidR="0053772C">
        <w:t xml:space="preserve">is </w:t>
      </w:r>
      <w:r>
        <w:t xml:space="preserve">the amount of costs and expenses incurred on the asset </w:t>
      </w:r>
      <w:r>
        <w:lastRenderedPageBreak/>
        <w:t>(including incidental expenses of a capital nature incurred when acquiring the asset</w:t>
      </w:r>
      <w:r w:rsidR="0053772C">
        <w:t>)</w:t>
      </w:r>
      <w:r>
        <w:t xml:space="preserve"> and then indexed to inflation.</w:t>
      </w:r>
      <w:r>
        <w:rPr>
          <w:vertAlign w:val="superscript"/>
        </w:rPr>
        <w:t>7</w:t>
      </w:r>
      <w:r w:rsidRPr="0030192A">
        <w:rPr>
          <w:rStyle w:val="FootnoteReference"/>
        </w:rPr>
        <w:footnoteReference w:customMarkFollows="1" w:id="69"/>
        <w:t>0</w:t>
      </w:r>
      <w:r>
        <w:t xml:space="preserve"> The inflation adjustment does not apply to an asset that is sold within 12 months from the date of purchase.</w:t>
      </w:r>
      <w:r>
        <w:rPr>
          <w:vertAlign w:val="superscript"/>
        </w:rPr>
        <w:t>7</w:t>
      </w:r>
      <w:r w:rsidRPr="0030192A">
        <w:rPr>
          <w:rStyle w:val="FootnoteReference"/>
        </w:rPr>
        <w:footnoteReference w:customMarkFollows="1" w:id="70"/>
        <w:t>1</w:t>
      </w:r>
    </w:p>
    <w:p w14:paraId="61A755BE" w14:textId="77777777" w:rsidR="00431024" w:rsidRDefault="00431024">
      <w:pPr>
        <w:pStyle w:val="p"/>
      </w:pPr>
      <w:r>
        <w:t>Consideration includes the total amount paid or payable, directly or indirectly, in money or in kind, including any duties, levies, fees, and charges other than tax paid or payable, reduced by any discounts or rebates allowed and accounted for at the time of the disposal.</w:t>
      </w:r>
      <w:r>
        <w:rPr>
          <w:vertAlign w:val="superscript"/>
        </w:rPr>
        <w:t>7</w:t>
      </w:r>
      <w:r w:rsidRPr="0030192A">
        <w:rPr>
          <w:rStyle w:val="FootnoteReference"/>
        </w:rPr>
        <w:footnoteReference w:customMarkFollows="1" w:id="71"/>
        <w:t>2</w:t>
      </w:r>
    </w:p>
    <w:p w14:paraId="6B9146AB" w14:textId="77777777" w:rsidR="00431024" w:rsidRDefault="00431024">
      <w:pPr>
        <w:pStyle w:val="p"/>
      </w:pPr>
      <w:r>
        <w:t xml:space="preserve">In the case of a deemed disposal (e.g., where a nonresident person who becomes </w:t>
      </w:r>
      <w:r w:rsidR="00E04F72">
        <w:t>a resident</w:t>
      </w:r>
      <w:r>
        <w:t xml:space="preserve"> is deemed to have acquired all assets, other than taxable assets, owned by the person at the time of becoming a resident), the capital gain will be computed on the market value of the assets at the time of the deemed disposal.</w:t>
      </w:r>
      <w:r>
        <w:rPr>
          <w:vertAlign w:val="superscript"/>
        </w:rPr>
        <w:t>7</w:t>
      </w:r>
      <w:r w:rsidRPr="0030192A">
        <w:rPr>
          <w:rStyle w:val="FootnoteReference"/>
        </w:rPr>
        <w:footnoteReference w:customMarkFollows="1" w:id="72"/>
        <w:t>3</w:t>
      </w:r>
    </w:p>
    <w:p w14:paraId="3F50F67F" w14:textId="77777777" w:rsidR="00431024" w:rsidRDefault="00431024">
      <w:pPr>
        <w:pStyle w:val="p"/>
      </w:pPr>
      <w:r>
        <w:rPr>
          <w:sz w:val="24"/>
          <w:szCs w:val="24"/>
        </w:rPr>
        <w:br/>
      </w:r>
      <w:r>
        <w:rPr>
          <w:b/>
          <w:bCs/>
        </w:rPr>
        <w:t xml:space="preserve">4.4. Corporate Combinations and Divisions </w:t>
      </w:r>
      <w:r>
        <w:rPr>
          <w:b/>
          <w:bCs/>
        </w:rPr>
        <w:br/>
      </w:r>
      <w:r>
        <w:rPr>
          <w:b/>
          <w:bCs/>
        </w:rPr>
        <w:br/>
        <w:t xml:space="preserve">4.4.1. Mergers </w:t>
      </w:r>
      <w:r>
        <w:rPr>
          <w:b/>
          <w:bCs/>
        </w:rPr>
        <w:br/>
      </w:r>
      <w:r>
        <w:t>The transfer of business assets in a merger is subject to income tax. However, if a merger involves the transfer of a business asset by a resident company to another in exchange for shares equivalent to 50 percent or more of an interest in the voting power of the transferee company, the transfer is not considered as a disposal of an asset by the transferor, and therefore, no taxable gain arises.</w:t>
      </w:r>
      <w:r>
        <w:rPr>
          <w:vertAlign w:val="superscript"/>
        </w:rPr>
        <w:t>7</w:t>
      </w:r>
      <w:r w:rsidRPr="0030192A">
        <w:rPr>
          <w:rStyle w:val="FootnoteReference"/>
        </w:rPr>
        <w:footnoteReference w:customMarkFollows="1" w:id="73"/>
        <w:t>4</w:t>
      </w:r>
      <w:r>
        <w:t xml:space="preserve"> The transferor company should, however, cease to exist by operation of law.</w:t>
      </w:r>
    </w:p>
    <w:p w14:paraId="200D4107" w14:textId="77777777" w:rsidR="00431024" w:rsidRDefault="00431024">
      <w:pPr>
        <w:pStyle w:val="p"/>
      </w:pPr>
      <w:r>
        <w:rPr>
          <w:sz w:val="24"/>
          <w:szCs w:val="24"/>
        </w:rPr>
        <w:br/>
      </w:r>
      <w:r>
        <w:rPr>
          <w:b/>
          <w:bCs/>
        </w:rPr>
        <w:t xml:space="preserve">4.4.2. Transfers of Corporate Property </w:t>
      </w:r>
      <w:r>
        <w:rPr>
          <w:b/>
          <w:bCs/>
        </w:rPr>
        <w:br/>
      </w:r>
      <w:r>
        <w:t>The transfer of a business asset by a resident company to another resident company in exchange for the transferor acquiring shares equivalent to 50 percent or more of an interest in the voting power of the transferee company is not considered a disposal of an asset by the transferor, and therefore, no taxable gain arises.</w:t>
      </w:r>
      <w:r>
        <w:rPr>
          <w:vertAlign w:val="superscript"/>
        </w:rPr>
        <w:t>7</w:t>
      </w:r>
      <w:r w:rsidRPr="0030192A">
        <w:rPr>
          <w:rStyle w:val="FootnoteReference"/>
        </w:rPr>
        <w:footnoteReference w:customMarkFollows="1" w:id="74"/>
        <w:t>5</w:t>
      </w:r>
    </w:p>
    <w:p w14:paraId="378469AF" w14:textId="77777777" w:rsidR="00431024" w:rsidRDefault="00431024">
      <w:pPr>
        <w:pStyle w:val="p"/>
      </w:pPr>
      <w:r>
        <w:rPr>
          <w:sz w:val="24"/>
          <w:szCs w:val="24"/>
        </w:rPr>
        <w:br/>
      </w:r>
      <w:r>
        <w:rPr>
          <w:b/>
          <w:bCs/>
        </w:rPr>
        <w:t xml:space="preserve">4.4.3. Share Transfers </w:t>
      </w:r>
      <w:r>
        <w:rPr>
          <w:b/>
          <w:bCs/>
        </w:rPr>
        <w:br/>
      </w:r>
      <w:r>
        <w:t>If a reorganization by resident companies involves the acquisition of shares equivalent to 50 percent or more in the transferee company in exchange for a transfer of a business asset, the transfer is not considered a disposal of an asset by the transferor, and therefore, no taxable gain arises.</w:t>
      </w:r>
    </w:p>
    <w:p w14:paraId="6DD724A1" w14:textId="77777777" w:rsidR="00431024" w:rsidRDefault="00431024">
      <w:pPr>
        <w:pStyle w:val="p"/>
      </w:pPr>
      <w:r>
        <w:t>A sale of shares from one person to another does not constitute a reorganization.</w:t>
      </w:r>
      <w:r>
        <w:rPr>
          <w:vertAlign w:val="superscript"/>
        </w:rPr>
        <w:t>7</w:t>
      </w:r>
      <w:r w:rsidRPr="0030192A">
        <w:rPr>
          <w:rStyle w:val="FootnoteReference"/>
        </w:rPr>
        <w:footnoteReference w:customMarkFollows="1" w:id="75"/>
        <w:t>6</w:t>
      </w:r>
    </w:p>
    <w:p w14:paraId="71A52E52" w14:textId="77777777" w:rsidR="00431024" w:rsidRDefault="00431024">
      <w:pPr>
        <w:pStyle w:val="p"/>
      </w:pPr>
      <w:r>
        <w:rPr>
          <w:sz w:val="24"/>
          <w:szCs w:val="24"/>
        </w:rPr>
        <w:br/>
      </w:r>
      <w:r>
        <w:rPr>
          <w:b/>
          <w:bCs/>
        </w:rPr>
        <w:t xml:space="preserve">4.4.4. Divisions or Separations </w:t>
      </w:r>
      <w:r>
        <w:rPr>
          <w:b/>
          <w:bCs/>
        </w:rPr>
        <w:br/>
      </w:r>
      <w:r>
        <w:t xml:space="preserve">If a reorganization involves a corporate division, through which all or substantially all the assets of a company are </w:t>
      </w:r>
      <w:r>
        <w:lastRenderedPageBreak/>
        <w:t>transferred in exchange for shares to at least two or more newly established or preexisting companies, the tax that would have arisen from the transfer of the assets is rolled over or deferred to a subsequent disposal of the same assets.</w:t>
      </w:r>
      <w:r>
        <w:rPr>
          <w:vertAlign w:val="superscript"/>
        </w:rPr>
        <w:t>7</w:t>
      </w:r>
      <w:r w:rsidRPr="0030192A">
        <w:rPr>
          <w:rStyle w:val="FootnoteReference"/>
        </w:rPr>
        <w:footnoteReference w:customMarkFollows="1" w:id="76"/>
        <w:t>7</w:t>
      </w:r>
    </w:p>
    <w:p w14:paraId="68EEE71D" w14:textId="77777777" w:rsidR="00431024" w:rsidRDefault="00431024">
      <w:pPr>
        <w:pStyle w:val="p"/>
      </w:pPr>
      <w:r>
        <w:rPr>
          <w:sz w:val="24"/>
          <w:szCs w:val="24"/>
        </w:rPr>
        <w:br/>
      </w:r>
      <w:r>
        <w:rPr>
          <w:b/>
          <w:bCs/>
        </w:rPr>
        <w:t xml:space="preserve">4.5. Position of Losses from Business Operations </w:t>
      </w:r>
      <w:r>
        <w:rPr>
          <w:b/>
          <w:bCs/>
        </w:rPr>
        <w:br/>
      </w:r>
      <w:r>
        <w:rPr>
          <w:b/>
          <w:bCs/>
        </w:rPr>
        <w:br/>
        <w:t xml:space="preserve">4.5.1. Definition </w:t>
      </w:r>
      <w:r>
        <w:rPr>
          <w:b/>
          <w:bCs/>
        </w:rPr>
        <w:br/>
      </w:r>
      <w:r>
        <w:t>The "assessed loss" of a person for a year of income is the excess of the total amount of deductions allowed to the person under the ITA over the total amount of income included in the person's gross income.</w:t>
      </w:r>
      <w:r>
        <w:rPr>
          <w:vertAlign w:val="superscript"/>
        </w:rPr>
        <w:t>7</w:t>
      </w:r>
      <w:r w:rsidRPr="0030192A">
        <w:rPr>
          <w:rStyle w:val="FootnoteReference"/>
        </w:rPr>
        <w:footnoteReference w:customMarkFollows="1" w:id="77"/>
        <w:t>8</w:t>
      </w:r>
    </w:p>
    <w:p w14:paraId="30252FF5" w14:textId="77777777" w:rsidR="00431024" w:rsidRDefault="00431024">
      <w:pPr>
        <w:pStyle w:val="p"/>
      </w:pPr>
      <w:r>
        <w:rPr>
          <w:sz w:val="24"/>
          <w:szCs w:val="24"/>
        </w:rPr>
        <w:br/>
      </w:r>
      <w:r>
        <w:rPr>
          <w:b/>
          <w:bCs/>
        </w:rPr>
        <w:t xml:space="preserve">4.5.2. Treatment </w:t>
      </w:r>
      <w:r>
        <w:rPr>
          <w:b/>
          <w:bCs/>
        </w:rPr>
        <w:br/>
      </w:r>
      <w:r>
        <w:t>In Uganda, assessed losses can be carried forward and allowed as a deduction in determining the taxpayer's chargeable income in the following year of income. Assessed losses that are not exhausted in a particular year of income can be carried forward indefinitely until they are fully utilized.</w:t>
      </w:r>
      <w:r>
        <w:rPr>
          <w:vertAlign w:val="superscript"/>
        </w:rPr>
        <w:t>7</w:t>
      </w:r>
      <w:r w:rsidRPr="0030192A">
        <w:rPr>
          <w:rStyle w:val="FootnoteReference"/>
        </w:rPr>
        <w:footnoteReference w:customMarkFollows="1" w:id="78"/>
        <w:t>9</w:t>
      </w:r>
    </w:p>
    <w:p w14:paraId="1DAD9D7A" w14:textId="77777777" w:rsidR="00431024" w:rsidRDefault="00431024">
      <w:pPr>
        <w:pStyle w:val="p"/>
      </w:pPr>
      <w:r>
        <w:t>Loss carrybacks may be allowed in the case of a long-term contract. For these purposes, a long-term contract is a contract for manufacture, installation or construction, or the performance of related services, which is not completed within the year of income in which the work under contract commenced, other than a contract estimated to be completed within six months of the date on which work under the contract commenced.</w:t>
      </w:r>
      <w:r>
        <w:rPr>
          <w:vertAlign w:val="superscript"/>
        </w:rPr>
        <w:t>8</w:t>
      </w:r>
      <w:r w:rsidRPr="0030192A">
        <w:rPr>
          <w:rStyle w:val="FootnoteReference"/>
        </w:rPr>
        <w:footnoteReference w:customMarkFollows="1" w:id="79"/>
        <w:t>0</w:t>
      </w:r>
    </w:p>
    <w:p w14:paraId="287F1223" w14:textId="77777777" w:rsidR="00431024" w:rsidRDefault="00431024">
      <w:pPr>
        <w:pStyle w:val="p"/>
      </w:pPr>
      <w:r>
        <w:rPr>
          <w:sz w:val="24"/>
          <w:szCs w:val="24"/>
        </w:rPr>
        <w:br/>
      </w:r>
      <w:r>
        <w:rPr>
          <w:b/>
          <w:bCs/>
        </w:rPr>
        <w:t xml:space="preserve">4.5.3. Losses After Change in Ownership </w:t>
      </w:r>
      <w:r>
        <w:rPr>
          <w:b/>
          <w:bCs/>
        </w:rPr>
        <w:br/>
      </w:r>
      <w:r>
        <w:t>Generally, when there is a change of 50 percent or more in the underlying ownership of a company, compared with its ownership in the previous year, the company is prohibited from deducting an assessed loss in the year of income or in subsequent years.</w:t>
      </w:r>
    </w:p>
    <w:p w14:paraId="2DE780C3" w14:textId="77777777" w:rsidR="00431024" w:rsidRDefault="00431024">
      <w:pPr>
        <w:pStyle w:val="p"/>
      </w:pPr>
      <w:r>
        <w:t xml:space="preserve">There is an exception to this rule if, for a period of two years after the change or until the assessed loss has been exhausted (whichever is shorter), the company: </w:t>
      </w:r>
    </w:p>
    <w:p w14:paraId="25438D96" w14:textId="77777777" w:rsidR="00431024" w:rsidRDefault="003931E2">
      <w:pPr>
        <w:pStyle w:val="p"/>
      </w:pPr>
      <w:r w:rsidRPr="00D7377F">
        <w:rPr>
          <w:noProof/>
        </w:rPr>
        <w:drawing>
          <wp:inline distT="0" distB="0" distL="0" distR="0" wp14:anchorId="3DA7CA36" wp14:editId="69053C9A">
            <wp:extent cx="89535" cy="89535"/>
            <wp:effectExtent l="0" t="0" r="0" b="0"/>
            <wp:docPr id="59"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continues to carry on the business it did prior to the change; and</w:t>
      </w:r>
    </w:p>
    <w:p w14:paraId="2B9B77AE" w14:textId="77777777" w:rsidR="00431024" w:rsidRDefault="003931E2">
      <w:pPr>
        <w:pStyle w:val="p"/>
      </w:pPr>
      <w:r w:rsidRPr="00D7377F">
        <w:rPr>
          <w:noProof/>
        </w:rPr>
        <w:drawing>
          <wp:inline distT="0" distB="0" distL="0" distR="0" wp14:anchorId="08F2C8A0" wp14:editId="65074C15">
            <wp:extent cx="89535" cy="89535"/>
            <wp:effectExtent l="0" t="0" r="0" b="0"/>
            <wp:docPr id="60"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does not engage in any new business or investment after the change with the primary purpose of the company or its beneficial owners utilizing the assessed loss so as to reduce the tax payable on the income arising from the new business or investment.</w:t>
      </w:r>
      <w:r w:rsidR="00431024">
        <w:rPr>
          <w:vertAlign w:val="superscript"/>
        </w:rPr>
        <w:t>8</w:t>
      </w:r>
      <w:r w:rsidR="00431024" w:rsidRPr="0030192A">
        <w:rPr>
          <w:rStyle w:val="FootnoteReference"/>
        </w:rPr>
        <w:footnoteReference w:customMarkFollows="1" w:id="80"/>
        <w:t>1</w:t>
      </w:r>
    </w:p>
    <w:p w14:paraId="064B0CEE" w14:textId="77777777" w:rsidR="00431024" w:rsidRDefault="00431024">
      <w:pPr>
        <w:rPr>
          <w:sz w:val="24"/>
          <w:szCs w:val="24"/>
        </w:rPr>
      </w:pPr>
    </w:p>
    <w:p w14:paraId="083BBB37" w14:textId="77777777" w:rsidR="00431024" w:rsidRDefault="00431024">
      <w:pPr>
        <w:pStyle w:val="p"/>
      </w:pPr>
      <w:r>
        <w:rPr>
          <w:sz w:val="24"/>
          <w:szCs w:val="24"/>
        </w:rPr>
        <w:br/>
      </w:r>
      <w:r>
        <w:rPr>
          <w:b/>
          <w:bCs/>
        </w:rPr>
        <w:t xml:space="preserve">4.6. Group Treatment </w:t>
      </w:r>
      <w:r>
        <w:rPr>
          <w:b/>
          <w:bCs/>
        </w:rPr>
        <w:br/>
      </w:r>
      <w:r>
        <w:rPr>
          <w:b/>
          <w:bCs/>
        </w:rPr>
        <w:br/>
        <w:t xml:space="preserve">4.6.1. General Rule </w:t>
      </w:r>
      <w:r>
        <w:rPr>
          <w:b/>
          <w:bCs/>
        </w:rPr>
        <w:br/>
      </w:r>
      <w:r>
        <w:t>The ITA does not provide for the consolidation of income of groups of companies. Each company, including a wholly owned subsidiary, is assessed separately in Uganda.</w:t>
      </w:r>
    </w:p>
    <w:p w14:paraId="7689DBA8" w14:textId="77777777" w:rsidR="00431024" w:rsidRDefault="00431024">
      <w:pPr>
        <w:pStyle w:val="p"/>
      </w:pPr>
      <w:r>
        <w:rPr>
          <w:sz w:val="24"/>
          <w:szCs w:val="24"/>
        </w:rPr>
        <w:lastRenderedPageBreak/>
        <w:br/>
      </w:r>
      <w:r>
        <w:rPr>
          <w:b/>
          <w:bCs/>
        </w:rPr>
        <w:t xml:space="preserve">4.6.2. Definition of Group </w:t>
      </w:r>
      <w:r>
        <w:rPr>
          <w:b/>
          <w:bCs/>
        </w:rPr>
        <w:br/>
      </w:r>
      <w:r>
        <w:t>Uganda does not define a "group" for corporate tax purposes.</w:t>
      </w:r>
    </w:p>
    <w:p w14:paraId="21BCC274" w14:textId="77777777" w:rsidR="00431024" w:rsidRDefault="00431024">
      <w:pPr>
        <w:pStyle w:val="p"/>
      </w:pPr>
      <w:r>
        <w:rPr>
          <w:sz w:val="24"/>
          <w:szCs w:val="24"/>
        </w:rPr>
        <w:br/>
      </w:r>
      <w:r>
        <w:rPr>
          <w:b/>
          <w:bCs/>
        </w:rPr>
        <w:t xml:space="preserve">4.6.3. Special Aspects </w:t>
      </w:r>
      <w:r>
        <w:rPr>
          <w:b/>
          <w:bCs/>
        </w:rPr>
        <w:br/>
      </w:r>
      <w:r>
        <w:t>Uganda does not provide any other special aspects for corporate tax purposes.</w:t>
      </w:r>
    </w:p>
    <w:p w14:paraId="617CB0E2" w14:textId="77777777" w:rsidR="00431024" w:rsidRDefault="00431024">
      <w:pPr>
        <w:pStyle w:val="p"/>
      </w:pPr>
      <w:r>
        <w:rPr>
          <w:sz w:val="24"/>
          <w:szCs w:val="24"/>
        </w:rPr>
        <w:br/>
      </w:r>
      <w:r>
        <w:rPr>
          <w:b/>
          <w:bCs/>
        </w:rPr>
        <w:t xml:space="preserve">5. Corporate Withholding Taxes on Nonresident Corporations </w:t>
      </w:r>
      <w:r>
        <w:rPr>
          <w:b/>
          <w:bCs/>
        </w:rPr>
        <w:br/>
      </w:r>
      <w:r>
        <w:rPr>
          <w:b/>
          <w:bCs/>
        </w:rPr>
        <w:br/>
        <w:t xml:space="preserve">5.1. Dividends </w:t>
      </w:r>
      <w:r>
        <w:rPr>
          <w:b/>
          <w:bCs/>
        </w:rPr>
        <w:br/>
      </w:r>
      <w:r>
        <w:t>Uganda normally imposes a final withholding tax at the rate of 15 percent on dividends paid by a resident company to a nonresident.</w:t>
      </w:r>
      <w:r>
        <w:rPr>
          <w:vertAlign w:val="superscript"/>
        </w:rPr>
        <w:t>8</w:t>
      </w:r>
      <w:r w:rsidRPr="0030192A">
        <w:rPr>
          <w:rStyle w:val="FootnoteReference"/>
        </w:rPr>
        <w:footnoteReference w:customMarkFollows="1" w:id="81"/>
        <w:t>2</w:t>
      </w:r>
    </w:p>
    <w:p w14:paraId="079AB8A7" w14:textId="77777777" w:rsidR="00431024" w:rsidRDefault="00431024">
      <w:pPr>
        <w:pStyle w:val="p"/>
      </w:pPr>
      <w:r>
        <w:rPr>
          <w:sz w:val="24"/>
          <w:szCs w:val="24"/>
        </w:rPr>
        <w:br/>
      </w:r>
      <w:r>
        <w:rPr>
          <w:b/>
          <w:bCs/>
        </w:rPr>
        <w:t xml:space="preserve">5.2. Interest </w:t>
      </w:r>
      <w:r>
        <w:rPr>
          <w:b/>
          <w:bCs/>
        </w:rPr>
        <w:br/>
      </w:r>
      <w:r>
        <w:t>Uganda normally imposes a final withholding tax at the rate of 15 percent on interest paid by a resident company to a nonresident. A final withholding tax at the rate of 20 percent is imposed on interest paid to nonresidents on government securities if the maturity period of the government securities does not exceed 10 years. The rate is 10 percent if the maturity period is at least 10 years.</w:t>
      </w:r>
      <w:r>
        <w:rPr>
          <w:vertAlign w:val="superscript"/>
        </w:rPr>
        <w:t>8</w:t>
      </w:r>
      <w:r w:rsidRPr="0030192A">
        <w:rPr>
          <w:rStyle w:val="FootnoteReference"/>
        </w:rPr>
        <w:footnoteReference w:customMarkFollows="1" w:id="82"/>
        <w:t>3</w:t>
      </w:r>
    </w:p>
    <w:p w14:paraId="55AA9D62" w14:textId="77777777" w:rsidR="00431024" w:rsidRDefault="00431024">
      <w:pPr>
        <w:pStyle w:val="p"/>
      </w:pPr>
      <w:r>
        <w:t>There is an exemption from withholding tax for interest earned by a nonresident person in respect of debentures when certain conditions are met.</w:t>
      </w:r>
      <w:r w:rsidR="0002516B">
        <w:rPr>
          <w:rStyle w:val="FootnoteReference"/>
        </w:rPr>
        <w:footnoteReference w:id="83"/>
      </w:r>
    </w:p>
    <w:p w14:paraId="0D6493B8" w14:textId="77777777" w:rsidR="00431024" w:rsidRDefault="00431024">
      <w:pPr>
        <w:pStyle w:val="p"/>
      </w:pPr>
      <w:r>
        <w:rPr>
          <w:sz w:val="24"/>
          <w:szCs w:val="24"/>
        </w:rPr>
        <w:br/>
      </w:r>
      <w:r>
        <w:rPr>
          <w:b/>
          <w:bCs/>
        </w:rPr>
        <w:t xml:space="preserve">5.3. Royalties </w:t>
      </w:r>
      <w:r>
        <w:rPr>
          <w:b/>
          <w:bCs/>
        </w:rPr>
        <w:br/>
      </w:r>
      <w:r>
        <w:t>Uganda normally imposes a final withholding tax at the rate of 15 percent on royalties paid by a resident company to a nonresident.</w:t>
      </w:r>
      <w:r>
        <w:rPr>
          <w:vertAlign w:val="superscript"/>
        </w:rPr>
        <w:t>8</w:t>
      </w:r>
      <w:r w:rsidRPr="0030192A">
        <w:rPr>
          <w:rStyle w:val="FootnoteReference"/>
        </w:rPr>
        <w:footnoteReference w:customMarkFollows="1" w:id="84"/>
        <w:t>4</w:t>
      </w:r>
    </w:p>
    <w:p w14:paraId="6683A886" w14:textId="77777777" w:rsidR="00431024" w:rsidRDefault="00431024">
      <w:pPr>
        <w:pStyle w:val="p"/>
      </w:pPr>
      <w:r>
        <w:rPr>
          <w:sz w:val="24"/>
          <w:szCs w:val="24"/>
        </w:rPr>
        <w:br/>
      </w:r>
      <w:r>
        <w:rPr>
          <w:b/>
          <w:bCs/>
        </w:rPr>
        <w:t xml:space="preserve">5.4. Services </w:t>
      </w:r>
      <w:r>
        <w:rPr>
          <w:b/>
          <w:bCs/>
        </w:rPr>
        <w:br/>
      </w:r>
      <w:r>
        <w:t>In Uganda, payments to nonresident companies for managerial services are subject to a final withholding tax at the rate of 15 percent.</w:t>
      </w:r>
      <w:r>
        <w:rPr>
          <w:vertAlign w:val="superscript"/>
        </w:rPr>
        <w:t>8</w:t>
      </w:r>
      <w:r w:rsidRPr="0030192A">
        <w:rPr>
          <w:rStyle w:val="FootnoteReference"/>
        </w:rPr>
        <w:footnoteReference w:customMarkFollows="1" w:id="85"/>
        <w:t>5</w:t>
      </w:r>
    </w:p>
    <w:p w14:paraId="63E4FCBC" w14:textId="77777777" w:rsidR="00431024" w:rsidRDefault="00431024">
      <w:pPr>
        <w:pStyle w:val="p"/>
      </w:pPr>
      <w:r>
        <w:rPr>
          <w:sz w:val="24"/>
          <w:szCs w:val="24"/>
        </w:rPr>
        <w:br/>
      </w:r>
      <w:r>
        <w:rPr>
          <w:b/>
          <w:bCs/>
        </w:rPr>
        <w:t xml:space="preserve">5.5. Other Withholding Taxes </w:t>
      </w:r>
      <w:r>
        <w:rPr>
          <w:b/>
          <w:bCs/>
        </w:rPr>
        <w:br/>
      </w:r>
      <w:r>
        <w:t xml:space="preserve">A withholding tax at the rate of 15 percent also applies to the following payments made to nonresidents: </w:t>
      </w:r>
    </w:p>
    <w:p w14:paraId="62C0B341" w14:textId="77777777" w:rsidR="00431024" w:rsidRDefault="003931E2">
      <w:pPr>
        <w:pStyle w:val="p"/>
      </w:pPr>
      <w:r w:rsidRPr="00D7377F">
        <w:rPr>
          <w:noProof/>
        </w:rPr>
        <w:drawing>
          <wp:inline distT="0" distB="0" distL="0" distR="0" wp14:anchorId="63FEB70A" wp14:editId="3DC0ECAD">
            <wp:extent cx="89535" cy="89535"/>
            <wp:effectExtent l="0" t="0" r="0" b="0"/>
            <wp:docPr id="61"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rent;</w:t>
      </w:r>
      <w:r w:rsidR="00431024">
        <w:rPr>
          <w:vertAlign w:val="superscript"/>
        </w:rPr>
        <w:t>8</w:t>
      </w:r>
      <w:r w:rsidR="00431024" w:rsidRPr="0030192A">
        <w:rPr>
          <w:rStyle w:val="FootnoteReference"/>
        </w:rPr>
        <w:footnoteReference w:customMarkFollows="1" w:id="86"/>
        <w:t>6</w:t>
      </w:r>
    </w:p>
    <w:p w14:paraId="15A9A13A" w14:textId="77777777" w:rsidR="00431024" w:rsidRDefault="003931E2">
      <w:pPr>
        <w:pStyle w:val="p"/>
      </w:pPr>
      <w:r w:rsidRPr="00D7377F">
        <w:rPr>
          <w:noProof/>
        </w:rPr>
        <w:drawing>
          <wp:inline distT="0" distB="0" distL="0" distR="0" wp14:anchorId="2D446DDC" wp14:editId="35374F90">
            <wp:extent cx="89535" cy="89535"/>
            <wp:effectExtent l="0" t="0" r="0" b="0"/>
            <wp:docPr id="62"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natural resource payments;</w:t>
      </w:r>
      <w:r w:rsidR="00431024">
        <w:rPr>
          <w:vertAlign w:val="superscript"/>
        </w:rPr>
        <w:t>8</w:t>
      </w:r>
      <w:r w:rsidR="00431024" w:rsidRPr="0030192A">
        <w:rPr>
          <w:rStyle w:val="FootnoteReference"/>
        </w:rPr>
        <w:footnoteReference w:customMarkFollows="1" w:id="87"/>
        <w:t>7</w:t>
      </w:r>
    </w:p>
    <w:p w14:paraId="279AF507" w14:textId="77777777" w:rsidR="00431024" w:rsidRDefault="003931E2">
      <w:pPr>
        <w:pStyle w:val="p"/>
      </w:pPr>
      <w:r w:rsidRPr="00D7377F">
        <w:rPr>
          <w:noProof/>
        </w:rPr>
        <w:lastRenderedPageBreak/>
        <w:drawing>
          <wp:inline distT="0" distB="0" distL="0" distR="0" wp14:anchorId="25F41B75" wp14:editId="20CE30AC">
            <wp:extent cx="89535" cy="89535"/>
            <wp:effectExtent l="0" t="0" r="0" b="0"/>
            <wp:docPr id="63"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performances by entertainers, sports persons, or theatrical, musical or other groups of nonresident entertainers or sports persons;</w:t>
      </w:r>
      <w:r w:rsidR="00431024">
        <w:rPr>
          <w:vertAlign w:val="superscript"/>
        </w:rPr>
        <w:t>8</w:t>
      </w:r>
      <w:r w:rsidR="00431024" w:rsidRPr="0030192A">
        <w:rPr>
          <w:rStyle w:val="FootnoteReference"/>
        </w:rPr>
        <w:footnoteReference w:customMarkFollows="1" w:id="88"/>
        <w:t>8</w:t>
      </w:r>
      <w:r w:rsidR="00431024">
        <w:t xml:space="preserve"> </w:t>
      </w:r>
    </w:p>
    <w:p w14:paraId="7EB6E7E7" w14:textId="77777777" w:rsidR="00431024" w:rsidRDefault="00431024" w:rsidP="007568F3">
      <w:pPr>
        <w:pStyle w:val="p"/>
        <w:numPr>
          <w:ilvl w:val="0"/>
          <w:numId w:val="4"/>
        </w:numPr>
      </w:pPr>
      <w:r>
        <w:t>income derived under a Ugandan-source services contract</w:t>
      </w:r>
      <w:r>
        <w:rPr>
          <w:vertAlign w:val="superscript"/>
        </w:rPr>
        <w:t>8</w:t>
      </w:r>
      <w:r w:rsidRPr="0030192A">
        <w:rPr>
          <w:rStyle w:val="FootnoteReference"/>
        </w:rPr>
        <w:footnoteReference w:customMarkFollows="1" w:id="89"/>
        <w:t>9</w:t>
      </w:r>
      <w:r w:rsidR="009D45D4">
        <w:rPr>
          <w:rStyle w:val="FootnoteReference"/>
        </w:rPr>
        <w:t>;</w:t>
      </w:r>
      <w:r w:rsidR="009D45D4">
        <w:t xml:space="preserve"> and</w:t>
      </w:r>
    </w:p>
    <w:p w14:paraId="49EB8B5E" w14:textId="77777777" w:rsidR="009D45D4" w:rsidRDefault="002D230D" w:rsidP="007568F3">
      <w:pPr>
        <w:pStyle w:val="p"/>
        <w:numPr>
          <w:ilvl w:val="0"/>
          <w:numId w:val="4"/>
        </w:numPr>
      </w:pPr>
      <w:r>
        <w:t>agency fees under an Islamic financial business.</w:t>
      </w:r>
      <w:r>
        <w:rPr>
          <w:rStyle w:val="FootnoteReference"/>
        </w:rPr>
        <w:footnoteReference w:id="90"/>
      </w:r>
    </w:p>
    <w:p w14:paraId="6C4E7820" w14:textId="77777777" w:rsidR="00431024" w:rsidRDefault="00431024">
      <w:pPr>
        <w:rPr>
          <w:sz w:val="24"/>
          <w:szCs w:val="24"/>
        </w:rPr>
      </w:pPr>
    </w:p>
    <w:p w14:paraId="196361CF" w14:textId="77777777" w:rsidR="00431024" w:rsidRDefault="00431024">
      <w:pPr>
        <w:pStyle w:val="p"/>
      </w:pPr>
      <w:r>
        <w:t>A 2 percent withholding tax rate applies on income derived by a nonresident company from carrying on the business of ship operator, charterer, or air transport operator.</w:t>
      </w:r>
      <w:r>
        <w:rPr>
          <w:vertAlign w:val="superscript"/>
        </w:rPr>
        <w:t>9</w:t>
      </w:r>
      <w:r w:rsidRPr="0030192A">
        <w:rPr>
          <w:rStyle w:val="FootnoteReference"/>
        </w:rPr>
        <w:footnoteReference w:customMarkFollows="1" w:id="91"/>
        <w:t>0</w:t>
      </w:r>
    </w:p>
    <w:p w14:paraId="14ABF12F" w14:textId="77777777" w:rsidR="00431024" w:rsidRDefault="00431024">
      <w:pPr>
        <w:pStyle w:val="p"/>
      </w:pPr>
      <w:r>
        <w:t xml:space="preserve">A 5 percent withholding tax rate applies to income derived by nonresident persons: </w:t>
      </w:r>
    </w:p>
    <w:p w14:paraId="23504748" w14:textId="77777777" w:rsidR="00431024" w:rsidRDefault="00431024">
      <w:pPr>
        <w:pStyle w:val="p"/>
      </w:pPr>
      <w:r>
        <w:t>(a) transmitting messages by apparatus established in Uganda;</w:t>
      </w:r>
    </w:p>
    <w:p w14:paraId="59CB5944" w14:textId="77777777" w:rsidR="00431024" w:rsidRDefault="00431024">
      <w:pPr>
        <w:pStyle w:val="p"/>
      </w:pPr>
      <w:r>
        <w:t>(b) providing direct-to-home pay services to Ugandan subscribers; or</w:t>
      </w:r>
    </w:p>
    <w:p w14:paraId="692C63D0" w14:textId="77777777" w:rsidR="00431024" w:rsidRDefault="00431024">
      <w:pPr>
        <w:pStyle w:val="p"/>
      </w:pPr>
      <w:r>
        <w:t>(c) providing internet connectivity services to Ugandan subscribers,</w:t>
      </w:r>
    </w:p>
    <w:p w14:paraId="66FE01CB" w14:textId="77777777" w:rsidR="00431024" w:rsidRDefault="00431024">
      <w:pPr>
        <w:rPr>
          <w:sz w:val="24"/>
          <w:szCs w:val="24"/>
        </w:rPr>
      </w:pPr>
    </w:p>
    <w:p w14:paraId="3997C3C7" w14:textId="77777777" w:rsidR="00431024" w:rsidRDefault="00431024">
      <w:pPr>
        <w:pStyle w:val="p"/>
      </w:pPr>
      <w:r>
        <w:t>by cable, radio, optical fiber, satellite, or internet.</w:t>
      </w:r>
      <w:r>
        <w:rPr>
          <w:vertAlign w:val="superscript"/>
        </w:rPr>
        <w:t>9</w:t>
      </w:r>
      <w:r w:rsidRPr="0030192A">
        <w:rPr>
          <w:rStyle w:val="FootnoteReference"/>
        </w:rPr>
        <w:footnoteReference w:customMarkFollows="1" w:id="92"/>
        <w:t>1</w:t>
      </w:r>
    </w:p>
    <w:p w14:paraId="0E3E8CE0" w14:textId="77777777" w:rsidR="00431024" w:rsidRDefault="00431024">
      <w:pPr>
        <w:pStyle w:val="p"/>
      </w:pPr>
      <w:r>
        <w:t>All withholding taxes levied on income derived by a nonresident person are a final tax on the income.</w:t>
      </w:r>
      <w:r>
        <w:rPr>
          <w:vertAlign w:val="superscript"/>
        </w:rPr>
        <w:t>9</w:t>
      </w:r>
      <w:r w:rsidRPr="0030192A">
        <w:rPr>
          <w:rStyle w:val="FootnoteReference"/>
        </w:rPr>
        <w:footnoteReference w:customMarkFollows="1" w:id="93"/>
        <w:t>2</w:t>
      </w:r>
    </w:p>
    <w:p w14:paraId="10AF3037" w14:textId="77777777" w:rsidR="00431024" w:rsidRDefault="00431024">
      <w:pPr>
        <w:pStyle w:val="p"/>
      </w:pPr>
      <w:r>
        <w:rPr>
          <w:sz w:val="24"/>
          <w:szCs w:val="24"/>
        </w:rPr>
        <w:br/>
      </w:r>
      <w:r>
        <w:rPr>
          <w:b/>
          <w:bCs/>
        </w:rPr>
        <w:t xml:space="preserve">5.6. Special Tax Havens Rates </w:t>
      </w:r>
      <w:r>
        <w:rPr>
          <w:b/>
          <w:bCs/>
        </w:rPr>
        <w:br/>
      </w:r>
      <w:r>
        <w:t>The ITA does not contain any special tax havens rates.</w:t>
      </w:r>
    </w:p>
    <w:p w14:paraId="2BD9625B" w14:textId="77777777" w:rsidR="00431024" w:rsidRDefault="00431024">
      <w:pPr>
        <w:pStyle w:val="p"/>
      </w:pPr>
      <w:r>
        <w:rPr>
          <w:sz w:val="24"/>
          <w:szCs w:val="24"/>
        </w:rPr>
        <w:br/>
      </w:r>
      <w:r>
        <w:rPr>
          <w:b/>
          <w:bCs/>
        </w:rPr>
        <w:t xml:space="preserve">6. Personal Taxes </w:t>
      </w:r>
      <w:r>
        <w:rPr>
          <w:b/>
          <w:bCs/>
        </w:rPr>
        <w:br/>
      </w:r>
      <w:r>
        <w:rPr>
          <w:b/>
          <w:bCs/>
        </w:rPr>
        <w:br/>
        <w:t xml:space="preserve">6.1. Domicile and Residency Requirements </w:t>
      </w:r>
      <w:r>
        <w:rPr>
          <w:b/>
          <w:bCs/>
        </w:rPr>
        <w:br/>
      </w:r>
      <w:r>
        <w:t xml:space="preserve">An individual is resident in Uganda for a year of income if he or she: </w:t>
      </w:r>
    </w:p>
    <w:p w14:paraId="4D9F15A0" w14:textId="77777777" w:rsidR="00431024" w:rsidRDefault="003931E2">
      <w:pPr>
        <w:pStyle w:val="p"/>
      </w:pPr>
      <w:r w:rsidRPr="00D7377F">
        <w:rPr>
          <w:noProof/>
        </w:rPr>
        <w:drawing>
          <wp:inline distT="0" distB="0" distL="0" distR="0" wp14:anchorId="212DEFCF" wp14:editId="7A5589F3">
            <wp:extent cx="89535" cy="89535"/>
            <wp:effectExtent l="0" t="0" r="0" b="0"/>
            <wp:docPr id="66"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has a permanent home in Uganda;</w:t>
      </w:r>
    </w:p>
    <w:p w14:paraId="6B0D696C" w14:textId="77777777" w:rsidR="00431024" w:rsidRDefault="003931E2">
      <w:pPr>
        <w:pStyle w:val="p"/>
      </w:pPr>
      <w:r w:rsidRPr="00D7377F">
        <w:rPr>
          <w:noProof/>
        </w:rPr>
        <w:drawing>
          <wp:inline distT="0" distB="0" distL="0" distR="0" wp14:anchorId="3E9A207F" wp14:editId="39DD6D4C">
            <wp:extent cx="89535" cy="89535"/>
            <wp:effectExtent l="0" t="0" r="0" b="0"/>
            <wp:docPr id="67"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has a presence in Uganda during the year of income for (i) a period of 183 days or more in any 12-month period commencing or ending during the year of income, or (ii) during the year of income and in each of the two preceding years for an average period of more than 122 days in each year of income; or</w:t>
      </w:r>
    </w:p>
    <w:p w14:paraId="7C924D51" w14:textId="77777777" w:rsidR="00431024" w:rsidRDefault="003931E2">
      <w:pPr>
        <w:pStyle w:val="p"/>
      </w:pPr>
      <w:r w:rsidRPr="00D7377F">
        <w:rPr>
          <w:noProof/>
        </w:rPr>
        <w:drawing>
          <wp:inline distT="0" distB="0" distL="0" distR="0" wp14:anchorId="7EB6C92F" wp14:editId="45510257">
            <wp:extent cx="89535" cy="89535"/>
            <wp:effectExtent l="0" t="0" r="0" b="0"/>
            <wp:docPr id="68"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is an employee or official of the Government of Uganda posted abroad during the year of income.</w:t>
      </w:r>
      <w:r w:rsidR="00431024">
        <w:rPr>
          <w:vertAlign w:val="superscript"/>
        </w:rPr>
        <w:t>9</w:t>
      </w:r>
      <w:r w:rsidR="00431024" w:rsidRPr="0030192A">
        <w:rPr>
          <w:rStyle w:val="FootnoteReference"/>
        </w:rPr>
        <w:footnoteReference w:customMarkFollows="1" w:id="94"/>
        <w:t>3</w:t>
      </w:r>
    </w:p>
    <w:p w14:paraId="13AD0AA6" w14:textId="77777777" w:rsidR="00431024" w:rsidRDefault="00431024">
      <w:pPr>
        <w:rPr>
          <w:sz w:val="24"/>
          <w:szCs w:val="24"/>
        </w:rPr>
      </w:pPr>
    </w:p>
    <w:p w14:paraId="707E3D45" w14:textId="77777777" w:rsidR="00431024" w:rsidRDefault="00431024">
      <w:pPr>
        <w:pStyle w:val="p"/>
      </w:pPr>
      <w:r>
        <w:rPr>
          <w:sz w:val="24"/>
          <w:szCs w:val="24"/>
        </w:rPr>
        <w:br/>
      </w:r>
      <w:r>
        <w:rPr>
          <w:b/>
          <w:bCs/>
        </w:rPr>
        <w:t xml:space="preserve">6.2. Income Tax Base </w:t>
      </w:r>
      <w:r>
        <w:rPr>
          <w:b/>
          <w:bCs/>
        </w:rPr>
        <w:br/>
      </w:r>
      <w:r>
        <w:rPr>
          <w:b/>
          <w:bCs/>
        </w:rPr>
        <w:br/>
        <w:t xml:space="preserve">6.2.1. Tax Base for Residents </w:t>
      </w:r>
      <w:r>
        <w:rPr>
          <w:b/>
          <w:bCs/>
        </w:rPr>
        <w:br/>
      </w:r>
      <w:r>
        <w:t>Ugandan residents are taxed on all their worldwide income, save for those items of income that are specifically exempt under the ITA.</w:t>
      </w:r>
      <w:r>
        <w:rPr>
          <w:vertAlign w:val="superscript"/>
        </w:rPr>
        <w:t>9</w:t>
      </w:r>
      <w:r w:rsidRPr="0030192A">
        <w:rPr>
          <w:rStyle w:val="FootnoteReference"/>
        </w:rPr>
        <w:footnoteReference w:customMarkFollows="1" w:id="95"/>
        <w:t>4</w:t>
      </w:r>
    </w:p>
    <w:p w14:paraId="36017E65" w14:textId="77777777" w:rsidR="00431024" w:rsidRDefault="00431024">
      <w:pPr>
        <w:pStyle w:val="p"/>
      </w:pPr>
      <w:r>
        <w:rPr>
          <w:sz w:val="24"/>
          <w:szCs w:val="24"/>
        </w:rPr>
        <w:br/>
      </w:r>
      <w:r>
        <w:rPr>
          <w:b/>
          <w:bCs/>
        </w:rPr>
        <w:t xml:space="preserve">6.2.2. Tax Base for Nonresidents </w:t>
      </w:r>
      <w:r>
        <w:rPr>
          <w:b/>
          <w:bCs/>
        </w:rPr>
        <w:br/>
      </w:r>
      <w:r>
        <w:t>A nonresident person is liable to income tax in Uganda to the extent that the income arises in, or is derived from, a source in Uganda.</w:t>
      </w:r>
      <w:r>
        <w:rPr>
          <w:vertAlign w:val="superscript"/>
        </w:rPr>
        <w:t>9</w:t>
      </w:r>
      <w:r w:rsidRPr="0030192A">
        <w:rPr>
          <w:rStyle w:val="FootnoteReference"/>
        </w:rPr>
        <w:footnoteReference w:customMarkFollows="1" w:id="96"/>
        <w:t>5</w:t>
      </w:r>
    </w:p>
    <w:p w14:paraId="725ACC1E" w14:textId="77777777" w:rsidR="00431024" w:rsidRDefault="00431024">
      <w:pPr>
        <w:pStyle w:val="p"/>
      </w:pPr>
      <w:r>
        <w:rPr>
          <w:sz w:val="24"/>
          <w:szCs w:val="24"/>
        </w:rPr>
        <w:br/>
      </w:r>
      <w:r>
        <w:rPr>
          <w:b/>
          <w:bCs/>
        </w:rPr>
        <w:t xml:space="preserve">6.2.3. Personal Income Subject to Income Tax </w:t>
      </w:r>
      <w:r>
        <w:rPr>
          <w:b/>
          <w:bCs/>
        </w:rPr>
        <w:br/>
      </w:r>
      <w:r>
        <w:rPr>
          <w:i/>
          <w:iCs/>
        </w:rPr>
        <w:t>General</w:t>
      </w:r>
    </w:p>
    <w:p w14:paraId="20559C87" w14:textId="77777777" w:rsidR="00431024" w:rsidRDefault="00431024">
      <w:pPr>
        <w:pStyle w:val="p"/>
      </w:pPr>
      <w:r>
        <w:t>The taxable income of any individual is the assessable income of such person from employment, business, or property income.</w:t>
      </w:r>
      <w:r>
        <w:rPr>
          <w:vertAlign w:val="superscript"/>
        </w:rPr>
        <w:t>9</w:t>
      </w:r>
      <w:r w:rsidRPr="0030192A">
        <w:rPr>
          <w:rStyle w:val="FootnoteReference"/>
        </w:rPr>
        <w:footnoteReference w:customMarkFollows="1" w:id="97"/>
        <w:t>6</w:t>
      </w:r>
    </w:p>
    <w:p w14:paraId="0F62A3D0" w14:textId="77777777" w:rsidR="00431024" w:rsidRDefault="00431024">
      <w:pPr>
        <w:pStyle w:val="p"/>
      </w:pPr>
      <w:r>
        <w:rPr>
          <w:i/>
          <w:iCs/>
        </w:rPr>
        <w:t>Excluded Income</w:t>
      </w:r>
    </w:p>
    <w:p w14:paraId="563321F3" w14:textId="77777777" w:rsidR="00431024" w:rsidRDefault="00431024">
      <w:pPr>
        <w:pStyle w:val="p"/>
      </w:pPr>
      <w:r>
        <w:t xml:space="preserve">Certain items of income are excluded from the scope of personal income tax. These include but are not limited to: </w:t>
      </w:r>
    </w:p>
    <w:p w14:paraId="02AA5ABF" w14:textId="77777777" w:rsidR="00431024" w:rsidRDefault="003931E2">
      <w:pPr>
        <w:pStyle w:val="p"/>
      </w:pPr>
      <w:r w:rsidRPr="00D7377F">
        <w:rPr>
          <w:noProof/>
        </w:rPr>
        <w:drawing>
          <wp:inline distT="0" distB="0" distL="0" distR="0" wp14:anchorId="4FD39D98" wp14:editId="0451AFD5">
            <wp:extent cx="89535" cy="89535"/>
            <wp:effectExtent l="0" t="0" r="0" b="0"/>
            <wp:docPr id="69"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allowances paid to persons working in a Ugandan foreign mission;</w:t>
      </w:r>
    </w:p>
    <w:p w14:paraId="5C680157" w14:textId="77777777" w:rsidR="00431024" w:rsidRDefault="003931E2">
      <w:pPr>
        <w:pStyle w:val="p"/>
      </w:pPr>
      <w:r w:rsidRPr="00D7377F">
        <w:rPr>
          <w:noProof/>
        </w:rPr>
        <w:drawing>
          <wp:inline distT="0" distB="0" distL="0" distR="0" wp14:anchorId="4CD3292A" wp14:editId="5BDEFF3B">
            <wp:extent cx="89535" cy="89535"/>
            <wp:effectExtent l="0" t="0" r="0" b="0"/>
            <wp:docPr id="70"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the official employment income derived by a person in the public service of a foreign government subject to certain conditions;</w:t>
      </w:r>
    </w:p>
    <w:p w14:paraId="1D084A0A" w14:textId="77777777" w:rsidR="00431024" w:rsidRDefault="003931E2">
      <w:pPr>
        <w:pStyle w:val="p"/>
      </w:pPr>
      <w:r w:rsidRPr="00D7377F">
        <w:rPr>
          <w:noProof/>
        </w:rPr>
        <w:drawing>
          <wp:inline distT="0" distB="0" distL="0" distR="0" wp14:anchorId="14F26582" wp14:editId="322CF55C">
            <wp:extent cx="89535" cy="89535"/>
            <wp:effectExtent l="0" t="0" r="0" b="0"/>
            <wp:docPr id="71"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employment income derived by an individual to the extent provided for in a technical assistance agreement subject to certain conditions; and</w:t>
      </w:r>
    </w:p>
    <w:p w14:paraId="620D2D89" w14:textId="77777777" w:rsidR="00431024" w:rsidRDefault="003931E2">
      <w:pPr>
        <w:pStyle w:val="p"/>
      </w:pPr>
      <w:r w:rsidRPr="00D7377F">
        <w:rPr>
          <w:noProof/>
        </w:rPr>
        <w:drawing>
          <wp:inline distT="0" distB="0" distL="0" distR="0" wp14:anchorId="01CD88B1" wp14:editId="45019F9B">
            <wp:extent cx="89535" cy="89535"/>
            <wp:effectExtent l="0" t="0" r="0" b="0"/>
            <wp:docPr id="72"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foreign source income derived by a short-term resident of Uganda or a member of the immediate family of the short-term resident.</w:t>
      </w:r>
      <w:r w:rsidR="00431024">
        <w:rPr>
          <w:vertAlign w:val="superscript"/>
        </w:rPr>
        <w:t>9</w:t>
      </w:r>
      <w:r w:rsidR="00431024" w:rsidRPr="0030192A">
        <w:rPr>
          <w:rStyle w:val="FootnoteReference"/>
        </w:rPr>
        <w:footnoteReference w:customMarkFollows="1" w:id="98"/>
        <w:t>7</w:t>
      </w:r>
    </w:p>
    <w:p w14:paraId="2E98BAAF" w14:textId="77777777" w:rsidR="00431024" w:rsidRDefault="00431024">
      <w:pPr>
        <w:rPr>
          <w:sz w:val="24"/>
          <w:szCs w:val="24"/>
        </w:rPr>
      </w:pPr>
    </w:p>
    <w:p w14:paraId="343EA437" w14:textId="77777777" w:rsidR="00431024" w:rsidRDefault="00431024">
      <w:pPr>
        <w:pStyle w:val="p"/>
      </w:pPr>
      <w:r>
        <w:rPr>
          <w:i/>
          <w:iCs/>
        </w:rPr>
        <w:t>Treatment of Benefits</w:t>
      </w:r>
    </w:p>
    <w:p w14:paraId="622EA73F" w14:textId="77777777" w:rsidR="00431024" w:rsidRDefault="00431024">
      <w:pPr>
        <w:pStyle w:val="p"/>
      </w:pPr>
      <w:r>
        <w:t>Employees are generally taxed on the benefits they receive by virtue of employment at the market value of the benefits.</w:t>
      </w:r>
      <w:r>
        <w:rPr>
          <w:vertAlign w:val="superscript"/>
        </w:rPr>
        <w:t>9</w:t>
      </w:r>
      <w:r w:rsidRPr="0030192A">
        <w:rPr>
          <w:rStyle w:val="FootnoteReference"/>
        </w:rPr>
        <w:footnoteReference w:customMarkFollows="1" w:id="99"/>
        <w:t>8</w:t>
      </w:r>
    </w:p>
    <w:p w14:paraId="32D310DA" w14:textId="77777777" w:rsidR="00431024" w:rsidRDefault="00431024">
      <w:pPr>
        <w:pStyle w:val="p"/>
      </w:pPr>
      <w:r>
        <w:rPr>
          <w:i/>
          <w:iCs/>
        </w:rPr>
        <w:t>Service Income</w:t>
      </w:r>
    </w:p>
    <w:p w14:paraId="663A436D" w14:textId="77777777" w:rsidR="00431024" w:rsidRDefault="00431024">
      <w:pPr>
        <w:pStyle w:val="p"/>
      </w:pPr>
      <w:r>
        <w:t>Employment income derived from employment exercised in Uganda is taxable in Uganda.</w:t>
      </w:r>
      <w:r>
        <w:rPr>
          <w:vertAlign w:val="superscript"/>
        </w:rPr>
        <w:t>9</w:t>
      </w:r>
      <w:r w:rsidRPr="0030192A">
        <w:rPr>
          <w:rStyle w:val="FootnoteReference"/>
        </w:rPr>
        <w:footnoteReference w:customMarkFollows="1" w:id="100"/>
        <w:t>9</w:t>
      </w:r>
    </w:p>
    <w:p w14:paraId="64398A55" w14:textId="77777777" w:rsidR="00431024" w:rsidRDefault="00431024">
      <w:pPr>
        <w:pStyle w:val="p"/>
      </w:pPr>
      <w:r>
        <w:rPr>
          <w:i/>
          <w:iCs/>
        </w:rPr>
        <w:lastRenderedPageBreak/>
        <w:t>Income from Other Sources</w:t>
      </w:r>
    </w:p>
    <w:p w14:paraId="0E7CC1A3" w14:textId="77777777" w:rsidR="00431024" w:rsidRDefault="00431024">
      <w:pPr>
        <w:pStyle w:val="p"/>
      </w:pPr>
      <w:r>
        <w:t>Any income attributable to any activity that occurs in Uganda, including an activity conducted through a branch in Uganda is taxable in Uganda.</w:t>
      </w:r>
    </w:p>
    <w:p w14:paraId="631D4D20" w14:textId="77777777" w:rsidR="00431024" w:rsidRDefault="00431024">
      <w:pPr>
        <w:pStyle w:val="p"/>
      </w:pPr>
      <w:r>
        <w:rPr>
          <w:sz w:val="24"/>
          <w:szCs w:val="24"/>
        </w:rPr>
        <w:br/>
      </w:r>
      <w:r>
        <w:rPr>
          <w:b/>
          <w:bCs/>
        </w:rPr>
        <w:t xml:space="preserve">6.2.4. Deductions and Allowances </w:t>
      </w:r>
      <w:r>
        <w:rPr>
          <w:b/>
          <w:bCs/>
        </w:rPr>
        <w:br/>
      </w:r>
      <w:r>
        <w:t>There are very few deductions and allowances available to individuals for expenditures that are personal in nature. These include local service tax paid by an individual, and expenses supported by e-invoices or e-receipts for purchases of goods or services from suppliers who are designated to use the e-invoicing system.</w:t>
      </w:r>
      <w:r>
        <w:rPr>
          <w:vertAlign w:val="superscript"/>
        </w:rPr>
        <w:t>10</w:t>
      </w:r>
      <w:r w:rsidRPr="0030192A">
        <w:rPr>
          <w:rStyle w:val="FootnoteReference"/>
        </w:rPr>
        <w:footnoteReference w:customMarkFollows="1" w:id="101"/>
        <w:t>0</w:t>
      </w:r>
    </w:p>
    <w:p w14:paraId="7624A654" w14:textId="77777777" w:rsidR="006A28AB" w:rsidRDefault="00431024" w:rsidP="006A28AB">
      <w:pPr>
        <w:pStyle w:val="p"/>
      </w:pPr>
      <w:r>
        <w:rPr>
          <w:sz w:val="24"/>
          <w:szCs w:val="24"/>
        </w:rPr>
        <w:br/>
      </w:r>
      <w:r>
        <w:rPr>
          <w:b/>
          <w:bCs/>
        </w:rPr>
        <w:t xml:space="preserve">6.3. Main Rates and Bands </w:t>
      </w:r>
      <w:r>
        <w:rPr>
          <w:b/>
          <w:bCs/>
        </w:rPr>
        <w:br/>
      </w:r>
      <w:r>
        <w:rPr>
          <w:b/>
          <w:bCs/>
        </w:rPr>
        <w:br/>
        <w:t xml:space="preserve">6.3.1. Individual Tax Rates </w:t>
      </w:r>
      <w:r>
        <w:rPr>
          <w:b/>
          <w:bCs/>
        </w:rPr>
        <w:br/>
      </w:r>
      <w:r>
        <w:t xml:space="preserve">Resident and nonresident individuals are subject to income tax on their taxable income at progressive rates. </w:t>
      </w:r>
    </w:p>
    <w:p w14:paraId="770DDF52" w14:textId="77777777" w:rsidR="00431024" w:rsidRDefault="00431024" w:rsidP="007568F3">
      <w:pPr>
        <w:pStyle w:val="p"/>
        <w:ind w:firstLine="0"/>
      </w:pPr>
      <w:r>
        <w:t xml:space="preserve">The following rates apply on the annual income of nonresidents: </w:t>
      </w:r>
    </w:p>
    <w:p w14:paraId="6A3D41E6" w14:textId="77777777" w:rsidR="00431024" w:rsidRDefault="003931E2">
      <w:pPr>
        <w:pStyle w:val="p"/>
      </w:pPr>
      <w:r w:rsidRPr="00D7377F">
        <w:rPr>
          <w:noProof/>
        </w:rPr>
        <w:drawing>
          <wp:inline distT="0" distB="0" distL="0" distR="0" wp14:anchorId="6A54C4B7" wp14:editId="510B954B">
            <wp:extent cx="89535" cy="89535"/>
            <wp:effectExtent l="0" t="0" r="0" b="0"/>
            <wp:docPr id="73"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w:t>
      </w:r>
      <w:r w:rsidR="006A28AB">
        <w:t>not exceeding</w:t>
      </w:r>
      <w:r w:rsidR="00431024">
        <w:t xml:space="preserve"> 4,020,000 shillings — 10 percent;</w:t>
      </w:r>
    </w:p>
    <w:p w14:paraId="4B161129" w14:textId="77777777" w:rsidR="00431024" w:rsidRDefault="003931E2">
      <w:pPr>
        <w:pStyle w:val="p"/>
      </w:pPr>
      <w:r w:rsidRPr="00D7377F">
        <w:rPr>
          <w:noProof/>
        </w:rPr>
        <w:drawing>
          <wp:inline distT="0" distB="0" distL="0" distR="0" wp14:anchorId="446B3EE7" wp14:editId="615909E5">
            <wp:extent cx="89535" cy="89535"/>
            <wp:effectExtent l="0" t="0" r="0" b="0"/>
            <wp:docPr id="74"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exceeding 4,020,000 shillings, but not exceeding 4,920,000 shillings — 402,000 shillings, plus 20 percent of the amount by which chargeable income exceeds 4,020,000 shillings;</w:t>
      </w:r>
    </w:p>
    <w:p w14:paraId="289D2E5C" w14:textId="77777777" w:rsidR="00431024" w:rsidRDefault="003931E2">
      <w:pPr>
        <w:pStyle w:val="p"/>
      </w:pPr>
      <w:r w:rsidRPr="00D7377F">
        <w:rPr>
          <w:noProof/>
        </w:rPr>
        <w:drawing>
          <wp:inline distT="0" distB="0" distL="0" distR="0" wp14:anchorId="2FDD7833" wp14:editId="5E59067B">
            <wp:extent cx="89535" cy="89535"/>
            <wp:effectExtent l="0" t="0" r="0" b="0"/>
            <wp:docPr id="75"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exceeding 4,920,000 shillings — 582,000 shillings, plus 30 percent of the amount by which chargeable income exceeds 4,920,000 shillings; and</w:t>
      </w:r>
    </w:p>
    <w:p w14:paraId="31083872" w14:textId="77777777" w:rsidR="00431024" w:rsidRDefault="003931E2">
      <w:pPr>
        <w:pStyle w:val="p"/>
      </w:pPr>
      <w:r w:rsidRPr="00D7377F">
        <w:rPr>
          <w:noProof/>
        </w:rPr>
        <w:drawing>
          <wp:inline distT="0" distB="0" distL="0" distR="0" wp14:anchorId="185A813D" wp14:editId="631CD1DB">
            <wp:extent cx="89535" cy="89535"/>
            <wp:effectExtent l="0" t="0" r="0" b="0"/>
            <wp:docPr id="76"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exceeding 120 million shillings — an additional 10 percent on the amount by which chargeable income exceeds 120 million shillings.</w:t>
      </w:r>
      <w:r w:rsidR="00431024">
        <w:rPr>
          <w:vertAlign w:val="superscript"/>
        </w:rPr>
        <w:t>10</w:t>
      </w:r>
      <w:r w:rsidR="00431024" w:rsidRPr="0030192A">
        <w:rPr>
          <w:rStyle w:val="FootnoteReference"/>
        </w:rPr>
        <w:footnoteReference w:customMarkFollows="1" w:id="102"/>
        <w:t>1</w:t>
      </w:r>
    </w:p>
    <w:p w14:paraId="236A29A9" w14:textId="77777777" w:rsidR="00431024" w:rsidRDefault="00431024">
      <w:pPr>
        <w:rPr>
          <w:sz w:val="24"/>
          <w:szCs w:val="24"/>
        </w:rPr>
      </w:pPr>
    </w:p>
    <w:p w14:paraId="3ACCED5F" w14:textId="77777777" w:rsidR="00431024" w:rsidRDefault="00431024" w:rsidP="007568F3">
      <w:pPr>
        <w:pStyle w:val="p"/>
        <w:ind w:firstLine="0"/>
      </w:pPr>
      <w:r>
        <w:t xml:space="preserve">The </w:t>
      </w:r>
      <w:r w:rsidR="006A28AB">
        <w:t>income tax</w:t>
      </w:r>
      <w:r>
        <w:t xml:space="preserve"> rates for resident individuals are: </w:t>
      </w:r>
    </w:p>
    <w:p w14:paraId="62BB1918" w14:textId="77777777" w:rsidR="00431024" w:rsidRDefault="003931E2">
      <w:pPr>
        <w:pStyle w:val="p"/>
      </w:pPr>
      <w:r w:rsidRPr="00D7377F">
        <w:rPr>
          <w:noProof/>
        </w:rPr>
        <w:drawing>
          <wp:inline distT="0" distB="0" distL="0" distR="0" wp14:anchorId="63ABB073" wp14:editId="4C9D0936">
            <wp:extent cx="89535" cy="89535"/>
            <wp:effectExtent l="0" t="0" r="0" b="0"/>
            <wp:docPr id="77"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exceeding 2,820,000 shillings, but not exceeding 4,020,000 shillings — 10 percent of the amount by which chargeable income exceeds 2,820,000 shillings;</w:t>
      </w:r>
    </w:p>
    <w:p w14:paraId="3EBEA7C7" w14:textId="77777777" w:rsidR="00431024" w:rsidRDefault="003931E2">
      <w:pPr>
        <w:pStyle w:val="p"/>
      </w:pPr>
      <w:r w:rsidRPr="00D7377F">
        <w:rPr>
          <w:noProof/>
        </w:rPr>
        <w:drawing>
          <wp:inline distT="0" distB="0" distL="0" distR="0" wp14:anchorId="3F7749DD" wp14:editId="5E5976AE">
            <wp:extent cx="89535" cy="89535"/>
            <wp:effectExtent l="0" t="0" r="0" b="0"/>
            <wp:docPr id="78"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exceeding 4,020,000 shillings, but not exceeding 4,920,000 shillings — 120,000 shillings, plus 20 percent of the amount by which chargeable income exceeds 4,020,000 shillings;</w:t>
      </w:r>
    </w:p>
    <w:p w14:paraId="33375303" w14:textId="77777777" w:rsidR="00431024" w:rsidRDefault="003931E2">
      <w:pPr>
        <w:pStyle w:val="p"/>
      </w:pPr>
      <w:r w:rsidRPr="00D7377F">
        <w:rPr>
          <w:noProof/>
        </w:rPr>
        <w:drawing>
          <wp:inline distT="0" distB="0" distL="0" distR="0" wp14:anchorId="292AD16C" wp14:editId="6AB0D866">
            <wp:extent cx="89535" cy="89535"/>
            <wp:effectExtent l="0" t="0" r="0" b="0"/>
            <wp:docPr id="79"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exceeding 4,920,000 shillings — 300,000 shillings, plus 30 percent of the amount by which chargeable income exceeds 4,920,000 shillings; and</w:t>
      </w:r>
    </w:p>
    <w:p w14:paraId="6C786C22" w14:textId="77777777" w:rsidR="00431024" w:rsidRDefault="003931E2">
      <w:pPr>
        <w:pStyle w:val="p"/>
      </w:pPr>
      <w:r w:rsidRPr="00D7377F">
        <w:rPr>
          <w:noProof/>
        </w:rPr>
        <w:drawing>
          <wp:inline distT="0" distB="0" distL="0" distR="0" wp14:anchorId="1D6ABBCA" wp14:editId="22B2FC17">
            <wp:extent cx="89535" cy="89535"/>
            <wp:effectExtent l="0" t="0" r="0" b="0"/>
            <wp:docPr id="80"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exceeding 120 million shillings — an additional 10 percent on the amount by which chargeable income exceeds 120 million shillings.</w:t>
      </w:r>
      <w:r w:rsidR="00431024">
        <w:rPr>
          <w:vertAlign w:val="superscript"/>
        </w:rPr>
        <w:t>10</w:t>
      </w:r>
      <w:r w:rsidR="00431024" w:rsidRPr="0030192A">
        <w:rPr>
          <w:rStyle w:val="FootnoteReference"/>
        </w:rPr>
        <w:footnoteReference w:customMarkFollows="1" w:id="103"/>
        <w:t>2</w:t>
      </w:r>
    </w:p>
    <w:p w14:paraId="62D95095" w14:textId="77777777" w:rsidR="00431024" w:rsidRDefault="00431024">
      <w:pPr>
        <w:rPr>
          <w:sz w:val="24"/>
          <w:szCs w:val="24"/>
        </w:rPr>
      </w:pPr>
    </w:p>
    <w:p w14:paraId="45F54443" w14:textId="77777777" w:rsidR="00431024" w:rsidRDefault="00431024" w:rsidP="007568F3">
      <w:pPr>
        <w:pStyle w:val="p"/>
        <w:ind w:firstLine="0"/>
      </w:pPr>
      <w:r>
        <w:t xml:space="preserve">Rental income received by a resident individual is subject to a separate rental tax (see </w:t>
      </w:r>
      <w:r w:rsidR="005B1F31" w:rsidRPr="005B1F31">
        <w:rPr>
          <w:highlight w:val="yellow"/>
        </w:rPr>
        <w:t>[6.7.1]Section 6.7.1[end]</w:t>
      </w:r>
      <w:r>
        <w:t>).</w:t>
      </w:r>
    </w:p>
    <w:p w14:paraId="6D4899E6" w14:textId="77777777" w:rsidR="00431024" w:rsidRDefault="00431024">
      <w:pPr>
        <w:pStyle w:val="p"/>
      </w:pPr>
      <w:r>
        <w:rPr>
          <w:sz w:val="24"/>
          <w:szCs w:val="24"/>
        </w:rPr>
        <w:br/>
      </w:r>
      <w:r>
        <w:rPr>
          <w:b/>
          <w:bCs/>
        </w:rPr>
        <w:t xml:space="preserve">6.3.2. Individual Returns, Filing Dates, and Payment </w:t>
      </w:r>
      <w:r>
        <w:rPr>
          <w:b/>
          <w:bCs/>
        </w:rPr>
        <w:br/>
      </w:r>
      <w:r>
        <w:t xml:space="preserve">Individuals who derive income that is not subject to final withholding tax are required to make provisional payments, accompanied with a tax return, in four installments by the last day of the third, sixth, ninth and twelfth </w:t>
      </w:r>
      <w:r>
        <w:lastRenderedPageBreak/>
        <w:t>months in the year of income.</w:t>
      </w:r>
      <w:r>
        <w:rPr>
          <w:vertAlign w:val="superscript"/>
        </w:rPr>
        <w:t>10</w:t>
      </w:r>
      <w:r w:rsidRPr="0030192A">
        <w:rPr>
          <w:rStyle w:val="FootnoteReference"/>
        </w:rPr>
        <w:footnoteReference w:customMarkFollows="1" w:id="104"/>
        <w:t>3</w:t>
      </w:r>
      <w:r>
        <w:t xml:space="preserve"> The final tax return for the year of income must be submitted, along with payment of the final tax balance for that year, within six months of the end of the year of income (i.e., for a normal year of income, by December 31).</w:t>
      </w:r>
      <w:r>
        <w:rPr>
          <w:vertAlign w:val="superscript"/>
        </w:rPr>
        <w:t>10</w:t>
      </w:r>
      <w:r w:rsidRPr="0030192A">
        <w:rPr>
          <w:rStyle w:val="FootnoteReference"/>
        </w:rPr>
        <w:footnoteReference w:customMarkFollows="1" w:id="105"/>
        <w:t>4</w:t>
      </w:r>
    </w:p>
    <w:p w14:paraId="15450B69" w14:textId="77777777" w:rsidR="00431024" w:rsidRDefault="00431024">
      <w:pPr>
        <w:pStyle w:val="p"/>
      </w:pPr>
      <w:r>
        <w:t>Under the ITA, employers withhold tax on salary income at source through the pay-as-you-earn system at the time of payment of salary.</w:t>
      </w:r>
      <w:r>
        <w:rPr>
          <w:vertAlign w:val="superscript"/>
        </w:rPr>
        <w:t>10</w:t>
      </w:r>
      <w:r w:rsidRPr="0030192A">
        <w:rPr>
          <w:rStyle w:val="FootnoteReference"/>
        </w:rPr>
        <w:footnoteReference w:customMarkFollows="1" w:id="106"/>
        <w:t>5</w:t>
      </w:r>
    </w:p>
    <w:p w14:paraId="14D3828E" w14:textId="77777777" w:rsidR="00431024" w:rsidRDefault="00431024">
      <w:pPr>
        <w:pStyle w:val="p"/>
      </w:pPr>
      <w:r>
        <w:rPr>
          <w:sz w:val="24"/>
          <w:szCs w:val="24"/>
        </w:rPr>
        <w:br/>
      </w:r>
      <w:r>
        <w:rPr>
          <w:b/>
          <w:bCs/>
        </w:rPr>
        <w:t xml:space="preserve">6.4. Dividends </w:t>
      </w:r>
      <w:r>
        <w:rPr>
          <w:b/>
          <w:bCs/>
        </w:rPr>
        <w:br/>
      </w:r>
      <w:r>
        <w:rPr>
          <w:b/>
          <w:bCs/>
        </w:rPr>
        <w:br/>
        <w:t xml:space="preserve">6.4.1. Domestic Corporations </w:t>
      </w:r>
      <w:r>
        <w:rPr>
          <w:b/>
          <w:bCs/>
        </w:rPr>
        <w:br/>
      </w:r>
      <w:r>
        <w:t>In Uganda, dividends paid by resident companies to resident and nonresident individuals are subject to withholding tax at the rate of 15 percent and this is a final tax.</w:t>
      </w:r>
      <w:r>
        <w:rPr>
          <w:vertAlign w:val="superscript"/>
        </w:rPr>
        <w:t>10</w:t>
      </w:r>
      <w:r w:rsidRPr="0030192A">
        <w:rPr>
          <w:rStyle w:val="FootnoteReference"/>
        </w:rPr>
        <w:footnoteReference w:customMarkFollows="1" w:id="107"/>
        <w:t>6</w:t>
      </w:r>
    </w:p>
    <w:p w14:paraId="11443909" w14:textId="77777777" w:rsidR="00431024" w:rsidRDefault="00431024">
      <w:pPr>
        <w:pStyle w:val="p"/>
      </w:pPr>
      <w:r>
        <w:t>The rate of withholding tax imposed on resident individuals is reduced to 10 percent when the company paying the dividend is listed on the stock exchange.</w:t>
      </w:r>
      <w:r>
        <w:rPr>
          <w:vertAlign w:val="superscript"/>
        </w:rPr>
        <w:t>10</w:t>
      </w:r>
      <w:r w:rsidRPr="0030192A">
        <w:rPr>
          <w:rStyle w:val="FootnoteReference"/>
        </w:rPr>
        <w:footnoteReference w:customMarkFollows="1" w:id="108"/>
        <w:t>7</w:t>
      </w:r>
    </w:p>
    <w:p w14:paraId="014CD1A2" w14:textId="77777777" w:rsidR="00431024" w:rsidRDefault="00431024">
      <w:pPr>
        <w:pStyle w:val="p"/>
      </w:pPr>
      <w:r>
        <w:rPr>
          <w:sz w:val="24"/>
          <w:szCs w:val="24"/>
        </w:rPr>
        <w:br/>
      </w:r>
      <w:r>
        <w:rPr>
          <w:b/>
          <w:bCs/>
        </w:rPr>
        <w:t xml:space="preserve">6.4.2. Foreign Corporations </w:t>
      </w:r>
      <w:r>
        <w:rPr>
          <w:b/>
          <w:bCs/>
        </w:rPr>
        <w:br/>
      </w:r>
      <w:r>
        <w:t>Dividends paid by foreign companies to resident individuals are liable to tax as property income. However, the resident individual will be entitled to a foreign tax credit if he or she has paid foreign income tax on the dividends.</w:t>
      </w:r>
      <w:r>
        <w:rPr>
          <w:vertAlign w:val="superscript"/>
        </w:rPr>
        <w:t>10</w:t>
      </w:r>
      <w:r w:rsidRPr="0030192A">
        <w:rPr>
          <w:rStyle w:val="FootnoteReference"/>
        </w:rPr>
        <w:footnoteReference w:customMarkFollows="1" w:id="109"/>
        <w:t>8</w:t>
      </w:r>
    </w:p>
    <w:p w14:paraId="7B12F2A3" w14:textId="77777777" w:rsidR="00431024" w:rsidRDefault="00431024">
      <w:pPr>
        <w:pStyle w:val="p"/>
      </w:pPr>
      <w:r>
        <w:rPr>
          <w:sz w:val="24"/>
          <w:szCs w:val="24"/>
        </w:rPr>
        <w:br/>
      </w:r>
      <w:r>
        <w:rPr>
          <w:b/>
          <w:bCs/>
        </w:rPr>
        <w:t xml:space="preserve">6.5. Interest </w:t>
      </w:r>
      <w:r>
        <w:rPr>
          <w:b/>
          <w:bCs/>
        </w:rPr>
        <w:br/>
      </w:r>
      <w:r>
        <w:rPr>
          <w:b/>
          <w:bCs/>
        </w:rPr>
        <w:br/>
        <w:t xml:space="preserve">6.5.1. Domestic Borrowers </w:t>
      </w:r>
      <w:r>
        <w:rPr>
          <w:b/>
          <w:bCs/>
        </w:rPr>
        <w:br/>
      </w:r>
      <w:r>
        <w:t>Ugandan resident individuals who receive interest from any resident corporation is subject to a final withholding tax at the rate of 15 percent.</w:t>
      </w:r>
      <w:r>
        <w:rPr>
          <w:vertAlign w:val="superscript"/>
        </w:rPr>
        <w:t>10</w:t>
      </w:r>
      <w:r w:rsidRPr="0030192A">
        <w:rPr>
          <w:rStyle w:val="FootnoteReference"/>
        </w:rPr>
        <w:footnoteReference w:customMarkFollows="1" w:id="110"/>
        <w:t>9</w:t>
      </w:r>
      <w:r w:rsidR="001407D1" w:rsidRPr="001407D1">
        <w:t xml:space="preserve"> </w:t>
      </w:r>
    </w:p>
    <w:p w14:paraId="20F35FAA" w14:textId="77777777" w:rsidR="00431024" w:rsidRDefault="00431024">
      <w:pPr>
        <w:pStyle w:val="p"/>
      </w:pPr>
      <w:r>
        <w:t>A nonresident individual who receives interest from Ugandan sources is subject to a final withholding tax at the rate of 15 percent.</w:t>
      </w:r>
      <w:r>
        <w:rPr>
          <w:vertAlign w:val="superscript"/>
        </w:rPr>
        <w:t>11</w:t>
      </w:r>
      <w:r w:rsidRPr="0030192A">
        <w:rPr>
          <w:rStyle w:val="FootnoteReference"/>
        </w:rPr>
        <w:footnoteReference w:customMarkFollows="1" w:id="111"/>
        <w:t>0</w:t>
      </w:r>
    </w:p>
    <w:p w14:paraId="33A9B2EF" w14:textId="77777777" w:rsidR="00431024" w:rsidRDefault="00431024">
      <w:pPr>
        <w:pStyle w:val="p"/>
      </w:pPr>
      <w:r>
        <w:rPr>
          <w:sz w:val="24"/>
          <w:szCs w:val="24"/>
        </w:rPr>
        <w:br/>
      </w:r>
      <w:r>
        <w:rPr>
          <w:b/>
          <w:bCs/>
        </w:rPr>
        <w:t xml:space="preserve">6.5.2. Foreign Borrowers </w:t>
      </w:r>
      <w:r>
        <w:rPr>
          <w:b/>
          <w:bCs/>
        </w:rPr>
        <w:br/>
      </w:r>
      <w:r>
        <w:t xml:space="preserve">Interest received by a Ugandan resident individual from a foreign corporation is subject to tax at the standard rates. </w:t>
      </w:r>
      <w:r>
        <w:lastRenderedPageBreak/>
        <w:t>In the case of any tax withholding by a foreign corporation, the individual is allowed a credit for the foreign tax to avoid double taxation of interest income.</w:t>
      </w:r>
      <w:r>
        <w:rPr>
          <w:vertAlign w:val="superscript"/>
        </w:rPr>
        <w:t>11</w:t>
      </w:r>
      <w:r w:rsidRPr="0030192A">
        <w:rPr>
          <w:rStyle w:val="FootnoteReference"/>
        </w:rPr>
        <w:footnoteReference w:customMarkFollows="1" w:id="112"/>
        <w:t>1</w:t>
      </w:r>
    </w:p>
    <w:p w14:paraId="10423AD1" w14:textId="77777777" w:rsidR="00431024" w:rsidRDefault="00431024">
      <w:pPr>
        <w:pStyle w:val="p"/>
      </w:pPr>
      <w:r>
        <w:rPr>
          <w:sz w:val="24"/>
          <w:szCs w:val="24"/>
        </w:rPr>
        <w:br/>
      </w:r>
      <w:r>
        <w:rPr>
          <w:b/>
          <w:bCs/>
        </w:rPr>
        <w:t xml:space="preserve">6.6. Social Security/National Insurance Payments </w:t>
      </w:r>
      <w:r>
        <w:rPr>
          <w:b/>
          <w:bCs/>
        </w:rPr>
        <w:br/>
      </w:r>
      <w:r>
        <w:rPr>
          <w:b/>
          <w:bCs/>
        </w:rPr>
        <w:br/>
        <w:t xml:space="preserve">6.6.1. Employer Tax or Contribution </w:t>
      </w:r>
      <w:r>
        <w:rPr>
          <w:b/>
          <w:bCs/>
        </w:rPr>
        <w:br/>
      </w:r>
      <w:r>
        <w:t>Uganda has the National Social Security Fund (NSSF). Every employer, irrespective of the number of employees, must register with the NSSF and must remit NSSF contributions for each employee to the NSSF.</w:t>
      </w:r>
      <w:r>
        <w:rPr>
          <w:vertAlign w:val="superscript"/>
        </w:rPr>
        <w:t>11</w:t>
      </w:r>
      <w:r w:rsidRPr="0030192A">
        <w:rPr>
          <w:rStyle w:val="FootnoteReference"/>
        </w:rPr>
        <w:footnoteReference w:customMarkFollows="1" w:id="113"/>
        <w:t>2</w:t>
      </w:r>
      <w:r>
        <w:t xml:space="preserve"> The employer contribution is 10 percent of the gross monthly wage/salary of the employee.</w:t>
      </w:r>
      <w:r>
        <w:rPr>
          <w:vertAlign w:val="superscript"/>
        </w:rPr>
        <w:t>11</w:t>
      </w:r>
      <w:r w:rsidRPr="0030192A">
        <w:rPr>
          <w:rStyle w:val="FootnoteReference"/>
        </w:rPr>
        <w:footnoteReference w:customMarkFollows="1" w:id="114"/>
        <w:t>3</w:t>
      </w:r>
    </w:p>
    <w:p w14:paraId="57D71C0C" w14:textId="77777777" w:rsidR="00431024" w:rsidRDefault="00431024">
      <w:pPr>
        <w:pStyle w:val="p"/>
      </w:pPr>
      <w:r>
        <w:rPr>
          <w:sz w:val="24"/>
          <w:szCs w:val="24"/>
        </w:rPr>
        <w:br/>
      </w:r>
      <w:r>
        <w:rPr>
          <w:b/>
          <w:bCs/>
        </w:rPr>
        <w:t xml:space="preserve">6.6.2. Employee Tax or Contribution </w:t>
      </w:r>
      <w:r>
        <w:rPr>
          <w:b/>
          <w:bCs/>
        </w:rPr>
        <w:br/>
      </w:r>
      <w:r>
        <w:t>The mandatory employee NSSF contribution is 5 percent of the basic wages/salary in Uganda</w:t>
      </w:r>
      <w:r>
        <w:rPr>
          <w:vertAlign w:val="superscript"/>
        </w:rPr>
        <w:t>11</w:t>
      </w:r>
      <w:r w:rsidRPr="0030192A">
        <w:rPr>
          <w:rStyle w:val="FootnoteReference"/>
        </w:rPr>
        <w:footnoteReference w:customMarkFollows="1" w:id="115"/>
        <w:t>4</w:t>
      </w:r>
      <w:r>
        <w:t xml:space="preserve"> but employees are allowed to make voluntary contributions exceeding the mandatory contribution.</w:t>
      </w:r>
      <w:r>
        <w:rPr>
          <w:vertAlign w:val="superscript"/>
        </w:rPr>
        <w:t>11</w:t>
      </w:r>
      <w:r w:rsidRPr="0030192A">
        <w:rPr>
          <w:rStyle w:val="FootnoteReference"/>
        </w:rPr>
        <w:footnoteReference w:customMarkFollows="1" w:id="116"/>
        <w:t>5</w:t>
      </w:r>
    </w:p>
    <w:p w14:paraId="725BD412" w14:textId="77777777" w:rsidR="00431024" w:rsidRDefault="00431024">
      <w:pPr>
        <w:pStyle w:val="p"/>
      </w:pPr>
      <w:r>
        <w:rPr>
          <w:sz w:val="24"/>
          <w:szCs w:val="24"/>
        </w:rPr>
        <w:br/>
      </w:r>
      <w:r>
        <w:rPr>
          <w:b/>
          <w:bCs/>
        </w:rPr>
        <w:t xml:space="preserve">6.6.3. Employee Tax Collection Mechanism </w:t>
      </w:r>
      <w:r>
        <w:rPr>
          <w:b/>
          <w:bCs/>
        </w:rPr>
        <w:br/>
      </w:r>
      <w:r>
        <w:t>The employee contribution is withheld from the salary and deposited directly into the NSSF along with the employer's contribution.</w:t>
      </w:r>
    </w:p>
    <w:p w14:paraId="47E39CF7" w14:textId="77777777" w:rsidR="00431024" w:rsidRDefault="00431024">
      <w:pPr>
        <w:pStyle w:val="p"/>
      </w:pPr>
      <w:r>
        <w:rPr>
          <w:sz w:val="24"/>
          <w:szCs w:val="24"/>
        </w:rPr>
        <w:br/>
      </w:r>
      <w:r>
        <w:rPr>
          <w:b/>
          <w:bCs/>
        </w:rPr>
        <w:t xml:space="preserve">6.7. Royalties and Rents </w:t>
      </w:r>
      <w:r>
        <w:rPr>
          <w:b/>
          <w:bCs/>
        </w:rPr>
        <w:br/>
      </w:r>
      <w:r>
        <w:rPr>
          <w:b/>
          <w:bCs/>
        </w:rPr>
        <w:br/>
        <w:t xml:space="preserve">6.7.1. Domestic Licensors </w:t>
      </w:r>
      <w:r>
        <w:rPr>
          <w:b/>
          <w:bCs/>
        </w:rPr>
        <w:br/>
      </w:r>
      <w:r>
        <w:rPr>
          <w:i/>
          <w:iCs/>
        </w:rPr>
        <w:t>Royalties</w:t>
      </w:r>
    </w:p>
    <w:p w14:paraId="02099543" w14:textId="77777777" w:rsidR="00431024" w:rsidRDefault="00431024">
      <w:pPr>
        <w:pStyle w:val="p"/>
      </w:pPr>
      <w:r>
        <w:t>Any royalty payment made by a Ugandan resident or a nonresident person to a Ugandan resident individual is considered property income and, therefore, it is subject to tax at the normal tax rates under the ITA.</w:t>
      </w:r>
      <w:r>
        <w:rPr>
          <w:vertAlign w:val="superscript"/>
        </w:rPr>
        <w:t>11</w:t>
      </w:r>
      <w:r w:rsidRPr="0030192A">
        <w:rPr>
          <w:rStyle w:val="FootnoteReference"/>
        </w:rPr>
        <w:footnoteReference w:customMarkFollows="1" w:id="117"/>
        <w:t>6</w:t>
      </w:r>
    </w:p>
    <w:p w14:paraId="44AFE389" w14:textId="77777777" w:rsidR="00431024" w:rsidRDefault="00431024">
      <w:pPr>
        <w:pStyle w:val="p"/>
      </w:pPr>
      <w:r>
        <w:rPr>
          <w:i/>
          <w:iCs/>
        </w:rPr>
        <w:t>Rent</w:t>
      </w:r>
    </w:p>
    <w:p w14:paraId="2AB8E174" w14:textId="77777777" w:rsidR="00431024" w:rsidRDefault="00431024">
      <w:pPr>
        <w:pStyle w:val="p"/>
      </w:pPr>
      <w:r>
        <w:t xml:space="preserve">If a resident person derives rent from a Ugandan resident or a nonresident person, the rent is subject to a </w:t>
      </w:r>
      <w:r w:rsidR="006A28AB">
        <w:t>12</w:t>
      </w:r>
      <w:r>
        <w:t xml:space="preserve"> percent</w:t>
      </w:r>
      <w:r w:rsidR="00D77E01">
        <w:t xml:space="preserve"> tax</w:t>
      </w:r>
      <w:r>
        <w:t xml:space="preserve"> </w:t>
      </w:r>
      <w:r w:rsidR="006A28AB">
        <w:t>on the gross rental income</w:t>
      </w:r>
      <w:r w:rsidR="009C5DC8">
        <w:t xml:space="preserve"> in excess of 2,820,800 shillings per year. </w:t>
      </w:r>
      <w:r>
        <w:rPr>
          <w:vertAlign w:val="superscript"/>
        </w:rPr>
        <w:t>11</w:t>
      </w:r>
      <w:r w:rsidRPr="0030192A">
        <w:rPr>
          <w:rStyle w:val="FootnoteReference"/>
        </w:rPr>
        <w:footnoteReference w:customMarkFollows="1" w:id="118"/>
        <w:t>7</w:t>
      </w:r>
      <w:r>
        <w:t xml:space="preserve"> </w:t>
      </w:r>
    </w:p>
    <w:p w14:paraId="11ADF217" w14:textId="77777777" w:rsidR="00431024" w:rsidRDefault="00431024">
      <w:pPr>
        <w:pStyle w:val="p"/>
      </w:pPr>
      <w:r>
        <w:t>When foreign-source income from rents or royalties paid to a Ugandan resident is subject to tax in the other country, the Ugandan resident may be eligible for a foreign tax credit under section 81 of the ITA.</w:t>
      </w:r>
    </w:p>
    <w:p w14:paraId="592D12C1" w14:textId="77777777" w:rsidR="00431024" w:rsidRDefault="00431024">
      <w:pPr>
        <w:pStyle w:val="p"/>
      </w:pPr>
      <w:r>
        <w:rPr>
          <w:sz w:val="24"/>
          <w:szCs w:val="24"/>
        </w:rPr>
        <w:br/>
      </w:r>
      <w:r>
        <w:rPr>
          <w:b/>
          <w:bCs/>
        </w:rPr>
        <w:lastRenderedPageBreak/>
        <w:t xml:space="preserve">6.7.2. Foreign Licensors </w:t>
      </w:r>
      <w:r>
        <w:rPr>
          <w:b/>
          <w:bCs/>
        </w:rPr>
        <w:br/>
      </w:r>
      <w:r>
        <w:rPr>
          <w:i/>
          <w:iCs/>
        </w:rPr>
        <w:t>Royalties</w:t>
      </w:r>
    </w:p>
    <w:p w14:paraId="31354B02" w14:textId="77777777" w:rsidR="00431024" w:rsidRDefault="00431024">
      <w:pPr>
        <w:pStyle w:val="p"/>
      </w:pPr>
      <w:r>
        <w:t>Royalty payments made by a resident person to a nonresident individual are subject to a final withholding tax rate of 15 percent.</w:t>
      </w:r>
      <w:r>
        <w:rPr>
          <w:vertAlign w:val="superscript"/>
        </w:rPr>
        <w:t>11</w:t>
      </w:r>
      <w:r w:rsidRPr="0030192A">
        <w:rPr>
          <w:rStyle w:val="FootnoteReference"/>
        </w:rPr>
        <w:footnoteReference w:customMarkFollows="1" w:id="119"/>
        <w:t>9</w:t>
      </w:r>
    </w:p>
    <w:p w14:paraId="648B5DD9" w14:textId="77777777" w:rsidR="00431024" w:rsidRDefault="00431024">
      <w:pPr>
        <w:pStyle w:val="p"/>
      </w:pPr>
      <w:r>
        <w:rPr>
          <w:i/>
          <w:iCs/>
        </w:rPr>
        <w:t>Rent</w:t>
      </w:r>
    </w:p>
    <w:p w14:paraId="519C2AAB" w14:textId="77777777" w:rsidR="00431024" w:rsidRDefault="00431024">
      <w:pPr>
        <w:pStyle w:val="p"/>
      </w:pPr>
      <w:r>
        <w:t>Rent payments made by a resident person to a nonresident individual are subject to a final withholding tax rate of 15 percent.</w:t>
      </w:r>
      <w:r>
        <w:rPr>
          <w:vertAlign w:val="superscript"/>
        </w:rPr>
        <w:t>12</w:t>
      </w:r>
      <w:r w:rsidRPr="0030192A">
        <w:rPr>
          <w:rStyle w:val="FootnoteReference"/>
        </w:rPr>
        <w:footnoteReference w:customMarkFollows="1" w:id="120"/>
        <w:t>0</w:t>
      </w:r>
    </w:p>
    <w:p w14:paraId="6F1DBDFB" w14:textId="77777777" w:rsidR="00431024" w:rsidRDefault="00431024">
      <w:pPr>
        <w:pStyle w:val="p"/>
      </w:pPr>
      <w:r>
        <w:rPr>
          <w:sz w:val="24"/>
          <w:szCs w:val="24"/>
        </w:rPr>
        <w:br/>
      </w:r>
      <w:r>
        <w:rPr>
          <w:b/>
          <w:bCs/>
        </w:rPr>
        <w:t xml:space="preserve">7. Transfer Pricing Policies </w:t>
      </w:r>
      <w:r>
        <w:rPr>
          <w:b/>
          <w:bCs/>
        </w:rPr>
        <w:br/>
      </w:r>
      <w:r>
        <w:rPr>
          <w:b/>
          <w:bCs/>
        </w:rPr>
        <w:br/>
        <w:t xml:space="preserve">7.1. Application </w:t>
      </w:r>
      <w:r>
        <w:rPr>
          <w:b/>
          <w:bCs/>
        </w:rPr>
        <w:br/>
      </w:r>
      <w:r>
        <w:t>The Income Tax (Transfer Pricing) Regulations, 2011 ("TP Regulations") came into force on July 1, 2011. The TP Regulations are largely based on the OECD guidelines on transfer pricing.</w:t>
      </w:r>
      <w:r>
        <w:rPr>
          <w:vertAlign w:val="superscript"/>
        </w:rPr>
        <w:t>12</w:t>
      </w:r>
      <w:r w:rsidRPr="0030192A">
        <w:rPr>
          <w:rStyle w:val="FootnoteReference"/>
        </w:rPr>
        <w:footnoteReference w:customMarkFollows="1" w:id="121"/>
        <w:t>1</w:t>
      </w:r>
    </w:p>
    <w:p w14:paraId="630E3A8C" w14:textId="77777777" w:rsidR="00431024" w:rsidRDefault="00431024">
      <w:pPr>
        <w:pStyle w:val="p"/>
      </w:pPr>
      <w:r>
        <w:t>The TP Regulations apply to a controlled transaction if a person who is a party to the transaction is located in, and subject to, tax in Uganda and the other person who is a party to the transaction is located in or outside Uganda. A controlled transaction means a transaction between associates.</w:t>
      </w:r>
      <w:r>
        <w:rPr>
          <w:vertAlign w:val="superscript"/>
        </w:rPr>
        <w:t>12</w:t>
      </w:r>
      <w:r w:rsidRPr="0030192A">
        <w:rPr>
          <w:rStyle w:val="FootnoteReference"/>
        </w:rPr>
        <w:footnoteReference w:customMarkFollows="1" w:id="122"/>
        <w:t>2</w:t>
      </w:r>
    </w:p>
    <w:p w14:paraId="33E8EA25" w14:textId="77777777" w:rsidR="00431024" w:rsidRDefault="00431024">
      <w:pPr>
        <w:pStyle w:val="p"/>
      </w:pPr>
      <w:r>
        <w:t>According to the TP Regulations, where a person enters into a controlled transaction, any income and expenditures resulting from the transaction should be computed having regard to the arm's</w:t>
      </w:r>
      <w:r w:rsidR="00C770C4">
        <w:t xml:space="preserve"> </w:t>
      </w:r>
      <w:r>
        <w:t>length principle.</w:t>
      </w:r>
      <w:r>
        <w:rPr>
          <w:vertAlign w:val="superscript"/>
        </w:rPr>
        <w:t>12</w:t>
      </w:r>
      <w:r w:rsidRPr="0030192A">
        <w:rPr>
          <w:rStyle w:val="FootnoteReference"/>
        </w:rPr>
        <w:footnoteReference w:customMarkFollows="1" w:id="123"/>
        <w:t>3</w:t>
      </w:r>
      <w:r w:rsidR="000A4CC2">
        <w:t xml:space="preserve"> In addition, companies that are part of a group structure are mandated to have a Transfer Pricing Policy. </w:t>
      </w:r>
    </w:p>
    <w:p w14:paraId="096B6CC1" w14:textId="77777777" w:rsidR="00431024" w:rsidRDefault="00431024">
      <w:pPr>
        <w:pStyle w:val="p"/>
      </w:pPr>
      <w:r>
        <w:rPr>
          <w:sz w:val="24"/>
          <w:szCs w:val="24"/>
        </w:rPr>
        <w:br/>
      </w:r>
      <w:r>
        <w:rPr>
          <w:b/>
          <w:bCs/>
        </w:rPr>
        <w:t xml:space="preserve">7.2. Permissible Pricing Methods </w:t>
      </w:r>
      <w:r>
        <w:rPr>
          <w:b/>
          <w:bCs/>
        </w:rPr>
        <w:br/>
      </w:r>
      <w:r>
        <w:t xml:space="preserve">The TP Regulations prescribes the five transfer pricing methods, which are the: </w:t>
      </w:r>
    </w:p>
    <w:p w14:paraId="7937DD62" w14:textId="77777777" w:rsidR="00431024" w:rsidRDefault="003931E2">
      <w:pPr>
        <w:pStyle w:val="p"/>
      </w:pPr>
      <w:r w:rsidRPr="00D7377F">
        <w:rPr>
          <w:noProof/>
        </w:rPr>
        <w:drawing>
          <wp:inline distT="0" distB="0" distL="0" distR="0" wp14:anchorId="477DD1AD" wp14:editId="40E1B316">
            <wp:extent cx="89535" cy="89535"/>
            <wp:effectExtent l="0" t="0" r="0" b="0"/>
            <wp:docPr id="81"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comparable uncontrolled price method;</w:t>
      </w:r>
    </w:p>
    <w:p w14:paraId="6F34FE6C" w14:textId="77777777" w:rsidR="00431024" w:rsidRDefault="003931E2">
      <w:pPr>
        <w:pStyle w:val="p"/>
      </w:pPr>
      <w:r w:rsidRPr="00D7377F">
        <w:rPr>
          <w:noProof/>
        </w:rPr>
        <w:drawing>
          <wp:inline distT="0" distB="0" distL="0" distR="0" wp14:anchorId="2DA039A5" wp14:editId="76D042EF">
            <wp:extent cx="89535" cy="89535"/>
            <wp:effectExtent l="0" t="0" r="0" b="0"/>
            <wp:docPr id="82"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resale price method;</w:t>
      </w:r>
    </w:p>
    <w:p w14:paraId="5F115EF5" w14:textId="77777777" w:rsidR="00431024" w:rsidRDefault="003931E2">
      <w:pPr>
        <w:pStyle w:val="p"/>
      </w:pPr>
      <w:r w:rsidRPr="00D7377F">
        <w:rPr>
          <w:noProof/>
        </w:rPr>
        <w:drawing>
          <wp:inline distT="0" distB="0" distL="0" distR="0" wp14:anchorId="2EA4BC6B" wp14:editId="00DD1670">
            <wp:extent cx="89535" cy="89535"/>
            <wp:effectExtent l="0" t="0" r="0" b="0"/>
            <wp:docPr id="83"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cost plus method;</w:t>
      </w:r>
    </w:p>
    <w:p w14:paraId="3874C23C" w14:textId="77777777" w:rsidR="00431024" w:rsidRDefault="003931E2">
      <w:pPr>
        <w:pStyle w:val="p"/>
      </w:pPr>
      <w:r w:rsidRPr="00D7377F">
        <w:rPr>
          <w:noProof/>
        </w:rPr>
        <w:drawing>
          <wp:inline distT="0" distB="0" distL="0" distR="0" wp14:anchorId="3CB277B1" wp14:editId="25A69333">
            <wp:extent cx="89535" cy="89535"/>
            <wp:effectExtent l="0" t="0" r="0" b="0"/>
            <wp:docPr id="84"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transaction net margin method; and</w:t>
      </w:r>
    </w:p>
    <w:p w14:paraId="724C3A7B" w14:textId="77777777" w:rsidR="00431024" w:rsidRDefault="003931E2">
      <w:pPr>
        <w:pStyle w:val="p"/>
      </w:pPr>
      <w:r w:rsidRPr="00D7377F">
        <w:rPr>
          <w:noProof/>
        </w:rPr>
        <w:drawing>
          <wp:inline distT="0" distB="0" distL="0" distR="0" wp14:anchorId="0269DEED" wp14:editId="3299E3F2">
            <wp:extent cx="89535" cy="89535"/>
            <wp:effectExtent l="0" t="0" r="0" b="0"/>
            <wp:docPr id="85"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transaction profit split method.</w:t>
      </w:r>
    </w:p>
    <w:p w14:paraId="716C73D8" w14:textId="77777777" w:rsidR="00431024" w:rsidRDefault="00431024">
      <w:pPr>
        <w:rPr>
          <w:sz w:val="24"/>
          <w:szCs w:val="24"/>
        </w:rPr>
      </w:pPr>
    </w:p>
    <w:p w14:paraId="68A52CB6" w14:textId="77777777" w:rsidR="00431024" w:rsidRDefault="00431024" w:rsidP="007568F3">
      <w:pPr>
        <w:pStyle w:val="p"/>
        <w:ind w:firstLine="0"/>
      </w:pPr>
      <w:r>
        <w:t>There is no prescribed hierarchy. A taxpayer is required to demonstrate the arm's</w:t>
      </w:r>
      <w:r w:rsidR="00C770C4">
        <w:t xml:space="preserve"> </w:t>
      </w:r>
      <w:r>
        <w:t>length price by adopting the "most appropriate method."</w:t>
      </w:r>
      <w:r>
        <w:rPr>
          <w:vertAlign w:val="superscript"/>
        </w:rPr>
        <w:t>12</w:t>
      </w:r>
      <w:r w:rsidRPr="0030192A">
        <w:rPr>
          <w:rStyle w:val="FootnoteReference"/>
        </w:rPr>
        <w:footnoteReference w:customMarkFollows="1" w:id="124"/>
        <w:t>4</w:t>
      </w:r>
    </w:p>
    <w:p w14:paraId="23B13D14" w14:textId="77777777" w:rsidR="00431024" w:rsidRDefault="00431024">
      <w:pPr>
        <w:pStyle w:val="p"/>
      </w:pPr>
      <w:r>
        <w:rPr>
          <w:sz w:val="24"/>
          <w:szCs w:val="24"/>
        </w:rPr>
        <w:br/>
      </w:r>
      <w:r>
        <w:rPr>
          <w:b/>
          <w:bCs/>
        </w:rPr>
        <w:lastRenderedPageBreak/>
        <w:t xml:space="preserve">7.3. Penalties for Improper Pricing </w:t>
      </w:r>
      <w:r>
        <w:rPr>
          <w:b/>
          <w:bCs/>
        </w:rPr>
        <w:br/>
      </w:r>
      <w:r>
        <w:t>In Uganda, improper pricing can lead to imprisonment for a term not exceeding six months or to a fine not exceeding 500,000 shillings.</w:t>
      </w:r>
      <w:r w:rsidR="006173E3">
        <w:rPr>
          <w:rStyle w:val="FootnoteReference"/>
        </w:rPr>
        <w:footnoteReference w:id="125"/>
      </w:r>
      <w:r>
        <w:t xml:space="preserve"> In addition, the URA can disregard the transaction amount in a controlled transaction and increase the taxable income. As a consequence, additional tax liability, interest and penalties may be payable.</w:t>
      </w:r>
      <w:r>
        <w:rPr>
          <w:vertAlign w:val="superscript"/>
        </w:rPr>
        <w:t>12</w:t>
      </w:r>
      <w:r w:rsidRPr="0030192A">
        <w:rPr>
          <w:rStyle w:val="FootnoteReference"/>
        </w:rPr>
        <w:footnoteReference w:customMarkFollows="1" w:id="126"/>
        <w:t>5</w:t>
      </w:r>
    </w:p>
    <w:p w14:paraId="6180DE83" w14:textId="77777777" w:rsidR="00431024" w:rsidRDefault="00431024">
      <w:pPr>
        <w:pStyle w:val="p"/>
      </w:pPr>
      <w:r>
        <w:rPr>
          <w:sz w:val="24"/>
          <w:szCs w:val="24"/>
        </w:rPr>
        <w:br/>
      </w:r>
      <w:r>
        <w:rPr>
          <w:b/>
          <w:bCs/>
        </w:rPr>
        <w:t xml:space="preserve">7.4. Advance Rulings or Pricing Agreements </w:t>
      </w:r>
      <w:r>
        <w:rPr>
          <w:b/>
          <w:bCs/>
        </w:rPr>
        <w:br/>
      </w:r>
      <w:r>
        <w:t xml:space="preserve">Unilateral, bilateral and multilateral advance pricing agreements (APAs) are available in Uganda. A taxpayer may apply in writing for an APA to the Commissioner. The application must be accompanied by: </w:t>
      </w:r>
    </w:p>
    <w:p w14:paraId="27E534E9" w14:textId="77777777" w:rsidR="00431024" w:rsidRDefault="003931E2">
      <w:pPr>
        <w:pStyle w:val="p"/>
      </w:pPr>
      <w:r w:rsidRPr="00D7377F">
        <w:rPr>
          <w:noProof/>
        </w:rPr>
        <w:drawing>
          <wp:inline distT="0" distB="0" distL="0" distR="0" wp14:anchorId="54CA7715" wp14:editId="76474C00">
            <wp:extent cx="89535" cy="89535"/>
            <wp:effectExtent l="0" t="0" r="0" b="0"/>
            <wp:docPr id="86"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a description of the taxpayer's activities, controlled transactions and the proposed scope and duration of the APA;</w:t>
      </w:r>
    </w:p>
    <w:p w14:paraId="1F2BA903" w14:textId="77777777" w:rsidR="00431024" w:rsidRDefault="003931E2">
      <w:pPr>
        <w:pStyle w:val="p"/>
      </w:pPr>
      <w:r w:rsidRPr="00D7377F">
        <w:rPr>
          <w:noProof/>
        </w:rPr>
        <w:drawing>
          <wp:inline distT="0" distB="0" distL="0" distR="0" wp14:anchorId="283B8101" wp14:editId="0DD0D783">
            <wp:extent cx="89535" cy="89535"/>
            <wp:effectExtent l="0" t="0" r="0" b="0"/>
            <wp:docPr id="87"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a proposal for the determination of the transfer prices for the transactions to be covered by the APA;</w:t>
      </w:r>
    </w:p>
    <w:p w14:paraId="68FF8DD0" w14:textId="77777777" w:rsidR="00431024" w:rsidRDefault="003931E2">
      <w:pPr>
        <w:pStyle w:val="p"/>
      </w:pPr>
      <w:r w:rsidRPr="00D7377F">
        <w:rPr>
          <w:noProof/>
        </w:rPr>
        <w:drawing>
          <wp:inline distT="0" distB="0" distL="0" distR="0" wp14:anchorId="1FE86F65" wp14:editId="33062F03">
            <wp:extent cx="89535" cy="89535"/>
            <wp:effectExtent l="0" t="0" r="0" b="0"/>
            <wp:docPr id="88"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the identification of any other country or countries the taxpayer wishes to participate in the APA; and</w:t>
      </w:r>
    </w:p>
    <w:p w14:paraId="2EF04778" w14:textId="77777777" w:rsidR="00431024" w:rsidRDefault="003931E2">
      <w:pPr>
        <w:pStyle w:val="p"/>
      </w:pPr>
      <w:r w:rsidRPr="00D7377F">
        <w:rPr>
          <w:noProof/>
        </w:rPr>
        <w:drawing>
          <wp:inline distT="0" distB="0" distL="0" distR="0" wp14:anchorId="0F465E35" wp14:editId="1998E21C">
            <wp:extent cx="89535" cy="89535"/>
            <wp:effectExtent l="0" t="0" r="0" b="0"/>
            <wp:docPr id="89"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any other information the Commissioner may prescribe.</w:t>
      </w:r>
      <w:r w:rsidR="00431024">
        <w:rPr>
          <w:vertAlign w:val="superscript"/>
        </w:rPr>
        <w:t>12</w:t>
      </w:r>
      <w:r w:rsidR="00431024" w:rsidRPr="0030192A">
        <w:rPr>
          <w:rStyle w:val="FootnoteReference"/>
        </w:rPr>
        <w:footnoteReference w:customMarkFollows="1" w:id="127"/>
        <w:t>6</w:t>
      </w:r>
    </w:p>
    <w:p w14:paraId="52F29771" w14:textId="77777777" w:rsidR="00431024" w:rsidRDefault="00431024">
      <w:pPr>
        <w:rPr>
          <w:sz w:val="24"/>
          <w:szCs w:val="24"/>
        </w:rPr>
      </w:pPr>
    </w:p>
    <w:p w14:paraId="3FA8A384" w14:textId="77777777" w:rsidR="00431024" w:rsidRDefault="00431024">
      <w:pPr>
        <w:pStyle w:val="p"/>
      </w:pPr>
      <w:r>
        <w:rPr>
          <w:sz w:val="24"/>
          <w:szCs w:val="24"/>
        </w:rPr>
        <w:br/>
      </w:r>
      <w:r>
        <w:rPr>
          <w:b/>
          <w:bCs/>
        </w:rPr>
        <w:t xml:space="preserve">7.5. Documentation </w:t>
      </w:r>
      <w:r>
        <w:rPr>
          <w:b/>
          <w:bCs/>
        </w:rPr>
        <w:br/>
      </w:r>
      <w:r>
        <w:t>A taxpayer who enters into a controlled transaction with an associated person must maintain sufficient information and documents to verify that the controlled transactions are consistent with the arm's</w:t>
      </w:r>
      <w:r w:rsidR="00FA6828">
        <w:t xml:space="preserve"> </w:t>
      </w:r>
      <w:r>
        <w:t>length principle. This information and documents should be in place prior to the due date of filing the income tax return for that year of income.</w:t>
      </w:r>
      <w:r>
        <w:rPr>
          <w:vertAlign w:val="superscript"/>
        </w:rPr>
        <w:t>12</w:t>
      </w:r>
      <w:r w:rsidRPr="0030192A">
        <w:rPr>
          <w:rStyle w:val="FootnoteReference"/>
        </w:rPr>
        <w:footnoteReference w:customMarkFollows="1" w:id="128"/>
        <w:t>7</w:t>
      </w:r>
    </w:p>
    <w:p w14:paraId="4395D426" w14:textId="77777777" w:rsidR="00431024" w:rsidRDefault="00431024">
      <w:pPr>
        <w:pStyle w:val="p"/>
      </w:pPr>
      <w:r>
        <w:t>The documentation that must be maintained includes the company's details, transaction details, a description of the transfer pricing method used and reasons why it was selected and a conclusion as to whether the transaction complies with the arm's</w:t>
      </w:r>
      <w:r w:rsidR="00C770C4">
        <w:t xml:space="preserve"> </w:t>
      </w:r>
      <w:r>
        <w:t>length principle.</w:t>
      </w:r>
      <w:r>
        <w:rPr>
          <w:vertAlign w:val="superscript"/>
        </w:rPr>
        <w:t>12</w:t>
      </w:r>
      <w:r w:rsidRPr="0030192A">
        <w:rPr>
          <w:rStyle w:val="FootnoteReference"/>
        </w:rPr>
        <w:footnoteReference w:customMarkFollows="1" w:id="129"/>
        <w:t>8</w:t>
      </w:r>
    </w:p>
    <w:p w14:paraId="65F87D6F" w14:textId="77777777" w:rsidR="00431024" w:rsidRDefault="00431024">
      <w:pPr>
        <w:pStyle w:val="p"/>
      </w:pPr>
      <w:r>
        <w:t>The documentation requirements apply to multinational enterprises or to transactions amounting to or exceeding 500,000,000 million shillings in a year of income.</w:t>
      </w:r>
      <w:r>
        <w:rPr>
          <w:vertAlign w:val="superscript"/>
        </w:rPr>
        <w:t>12</w:t>
      </w:r>
      <w:r w:rsidRPr="0030192A">
        <w:rPr>
          <w:rStyle w:val="FootnoteReference"/>
        </w:rPr>
        <w:footnoteReference w:customMarkFollows="1" w:id="130"/>
        <w:t>9</w:t>
      </w:r>
    </w:p>
    <w:p w14:paraId="08F0FE0B" w14:textId="77777777" w:rsidR="00431024" w:rsidRDefault="00431024">
      <w:pPr>
        <w:pStyle w:val="p"/>
      </w:pPr>
      <w:r>
        <w:t>Failure to provide records in respect of transfer pricing within 30 days of being requested to do so by the Commissioner can result in a penalty of 50 million shillings.</w:t>
      </w:r>
      <w:r>
        <w:rPr>
          <w:vertAlign w:val="superscript"/>
        </w:rPr>
        <w:t>13</w:t>
      </w:r>
      <w:r w:rsidRPr="0030192A">
        <w:rPr>
          <w:rStyle w:val="FootnoteReference"/>
        </w:rPr>
        <w:footnoteReference w:customMarkFollows="1" w:id="131"/>
        <w:t>0</w:t>
      </w:r>
    </w:p>
    <w:p w14:paraId="204EA2FF" w14:textId="77777777" w:rsidR="00431024" w:rsidRDefault="00431024">
      <w:pPr>
        <w:pStyle w:val="p"/>
      </w:pPr>
      <w:r>
        <w:rPr>
          <w:sz w:val="24"/>
          <w:szCs w:val="24"/>
        </w:rPr>
        <w:br/>
      </w:r>
      <w:r>
        <w:rPr>
          <w:b/>
          <w:bCs/>
        </w:rPr>
        <w:t xml:space="preserve">8. Anti-Avoidance Provisions </w:t>
      </w:r>
      <w:r>
        <w:rPr>
          <w:b/>
          <w:bCs/>
        </w:rPr>
        <w:br/>
      </w:r>
      <w:r>
        <w:rPr>
          <w:b/>
          <w:bCs/>
        </w:rPr>
        <w:br/>
        <w:t xml:space="preserve">8.1. General Anti-Avoidance Provisions </w:t>
      </w:r>
      <w:r>
        <w:rPr>
          <w:b/>
          <w:bCs/>
        </w:rPr>
        <w:br/>
      </w:r>
      <w:r>
        <w:lastRenderedPageBreak/>
        <w:t>Section 90 and Section 91 of the ITA provide two general anti-avoidance rules that relate respectively to transactions between associates and tax avoidance schemes.</w:t>
      </w:r>
    </w:p>
    <w:p w14:paraId="03CFD08E" w14:textId="77777777" w:rsidR="00431024" w:rsidRDefault="00431024">
      <w:pPr>
        <w:pStyle w:val="p"/>
      </w:pPr>
      <w:r>
        <w:t>Section 90 allows the Commissioner to distribute, apportion or allocate income, deductions, and credits between associates or persons who are in an employment relationship in order to reflect the arm's</w:t>
      </w:r>
      <w:r w:rsidR="00C770C4">
        <w:t xml:space="preserve"> </w:t>
      </w:r>
      <w:r>
        <w:t>length income realized by the taxpayer and the associate in the transaction.</w:t>
      </w:r>
    </w:p>
    <w:p w14:paraId="568088BD" w14:textId="77777777" w:rsidR="00431024" w:rsidRDefault="00431024">
      <w:pPr>
        <w:pStyle w:val="p"/>
      </w:pPr>
      <w:r>
        <w:t>Likewise, the Commissioner can adjust the amount of income of a taxpayer and its associated enterprise to ensure that income arising from the transfer or licensing of intangibles is commensurate with the income attributable to the property.</w:t>
      </w:r>
    </w:p>
    <w:p w14:paraId="1C0A9A7F" w14:textId="77777777" w:rsidR="00431024" w:rsidRDefault="00431024">
      <w:pPr>
        <w:pStyle w:val="p"/>
      </w:pPr>
      <w:r>
        <w:t>Under section 91, the Commissioner has the authority to recharacterize all or part of a transaction entered into as part of a tax avoidance scheme or a transaction in which the substance does not reflect the form. The Commissioner can also disregard transactions that lack substantial economic effect.</w:t>
      </w:r>
      <w:r>
        <w:rPr>
          <w:vertAlign w:val="superscript"/>
        </w:rPr>
        <w:t>13</w:t>
      </w:r>
      <w:r w:rsidRPr="0030192A">
        <w:rPr>
          <w:rStyle w:val="FootnoteReference"/>
        </w:rPr>
        <w:footnoteReference w:customMarkFollows="1" w:id="132"/>
        <w:t>1</w:t>
      </w:r>
    </w:p>
    <w:p w14:paraId="5DD5B9D3" w14:textId="77777777" w:rsidR="009D45D4" w:rsidRDefault="009D45D4">
      <w:pPr>
        <w:pStyle w:val="p"/>
      </w:pPr>
      <w:r>
        <w:t>The Commissioner may also recharacterize arrangements under Islamic financial business in which the substance does not reflect the form.</w:t>
      </w:r>
      <w:r>
        <w:rPr>
          <w:rStyle w:val="FootnoteReference"/>
        </w:rPr>
        <w:footnoteReference w:id="133"/>
      </w:r>
    </w:p>
    <w:p w14:paraId="6B46BCA0" w14:textId="77777777" w:rsidR="00431024" w:rsidRDefault="00431024">
      <w:pPr>
        <w:pStyle w:val="p"/>
      </w:pPr>
      <w:r>
        <w:rPr>
          <w:sz w:val="24"/>
          <w:szCs w:val="24"/>
        </w:rPr>
        <w:br/>
      </w:r>
      <w:r>
        <w:rPr>
          <w:b/>
          <w:bCs/>
        </w:rPr>
        <w:t xml:space="preserve">8.2. Thin Capitalization/Other Interest Deductibility Rules </w:t>
      </w:r>
      <w:r>
        <w:rPr>
          <w:b/>
          <w:bCs/>
        </w:rPr>
        <w:br/>
      </w:r>
      <w:r>
        <w:t>Under the ITA, the amount of deductible interest of all debts owed by a taxpayer who is a member of a group (except financial institutions and insurance companies) must not exceed 30 percent of the tax earnings before interest, depreciation and amortization. Interest that exceeds 30 percent of the specified limits can be carried forward for not more than three years.</w:t>
      </w:r>
      <w:r>
        <w:rPr>
          <w:vertAlign w:val="superscript"/>
        </w:rPr>
        <w:t>13</w:t>
      </w:r>
      <w:r w:rsidRPr="0030192A">
        <w:rPr>
          <w:rStyle w:val="FootnoteReference"/>
        </w:rPr>
        <w:footnoteReference w:customMarkFollows="1" w:id="134"/>
        <w:t>2</w:t>
      </w:r>
    </w:p>
    <w:p w14:paraId="13BF3253" w14:textId="77777777" w:rsidR="00431024" w:rsidRDefault="00431024">
      <w:pPr>
        <w:pStyle w:val="p"/>
      </w:pPr>
      <w:r>
        <w:rPr>
          <w:sz w:val="24"/>
          <w:szCs w:val="24"/>
        </w:rPr>
        <w:br/>
      </w:r>
      <w:r>
        <w:rPr>
          <w:b/>
          <w:bCs/>
        </w:rPr>
        <w:t xml:space="preserve">8.3. Controlled Foreign Company (CFC) Rules </w:t>
      </w:r>
      <w:r>
        <w:rPr>
          <w:b/>
          <w:bCs/>
        </w:rPr>
        <w:br/>
      </w:r>
      <w:r>
        <w:t>Uganda does not have a CFC regime.</w:t>
      </w:r>
    </w:p>
    <w:p w14:paraId="28FA58B8" w14:textId="77777777" w:rsidR="00431024" w:rsidRDefault="00431024">
      <w:pPr>
        <w:pStyle w:val="p"/>
      </w:pPr>
      <w:r>
        <w:rPr>
          <w:sz w:val="24"/>
          <w:szCs w:val="24"/>
        </w:rPr>
        <w:br/>
      </w:r>
      <w:r>
        <w:rPr>
          <w:b/>
          <w:bCs/>
        </w:rPr>
        <w:t xml:space="preserve">9. Other Taxes </w:t>
      </w:r>
      <w:r>
        <w:rPr>
          <w:b/>
          <w:bCs/>
        </w:rPr>
        <w:br/>
      </w:r>
      <w:r>
        <w:rPr>
          <w:b/>
          <w:bCs/>
        </w:rPr>
        <w:br/>
        <w:t xml:space="preserve">9.1. Payroll Taxes </w:t>
      </w:r>
      <w:r>
        <w:rPr>
          <w:b/>
          <w:bCs/>
        </w:rPr>
        <w:br/>
      </w:r>
      <w:r>
        <w:t>There is no tax on payroll in Uganda.</w:t>
      </w:r>
    </w:p>
    <w:p w14:paraId="272A5806" w14:textId="77777777" w:rsidR="00431024" w:rsidRDefault="00431024">
      <w:pPr>
        <w:pStyle w:val="p"/>
      </w:pPr>
      <w:r>
        <w:rPr>
          <w:sz w:val="24"/>
          <w:szCs w:val="24"/>
        </w:rPr>
        <w:br/>
      </w:r>
      <w:r>
        <w:rPr>
          <w:b/>
          <w:bCs/>
        </w:rPr>
        <w:t xml:space="preserve">9.2. Capital Taxes (Capital Duties) </w:t>
      </w:r>
      <w:r>
        <w:rPr>
          <w:b/>
          <w:bCs/>
        </w:rPr>
        <w:br/>
      </w:r>
      <w:r>
        <w:t>In Uganda, a registration fee of 1.5 percent of the nominal share capital is payable when incorporating a company and stamp duty at a rate of 1.5 percent applies on an increase in share capital.</w:t>
      </w:r>
    </w:p>
    <w:p w14:paraId="1E7F951B" w14:textId="77777777" w:rsidR="00431024" w:rsidRDefault="00431024">
      <w:pPr>
        <w:pStyle w:val="p"/>
      </w:pPr>
      <w:r>
        <w:rPr>
          <w:sz w:val="24"/>
          <w:szCs w:val="24"/>
        </w:rPr>
        <w:br/>
      </w:r>
      <w:r>
        <w:rPr>
          <w:b/>
          <w:bCs/>
        </w:rPr>
        <w:t xml:space="preserve">9.3. Property Taxes </w:t>
      </w:r>
      <w:r>
        <w:rPr>
          <w:b/>
          <w:bCs/>
        </w:rPr>
        <w:br/>
      </w:r>
      <w:r>
        <w:rPr>
          <w:b/>
          <w:bCs/>
        </w:rPr>
        <w:br/>
        <w:t xml:space="preserve">9.3.1. Transfer Taxes, Including Real Property Transactions </w:t>
      </w:r>
      <w:r>
        <w:rPr>
          <w:b/>
          <w:bCs/>
        </w:rPr>
        <w:br/>
      </w:r>
      <w:r>
        <w:t>Stamp duty at a rate of 1.5 percent applies on a transfer of property in Uganda.</w:t>
      </w:r>
    </w:p>
    <w:p w14:paraId="1F87E5C2" w14:textId="77777777" w:rsidR="00431024" w:rsidRDefault="00431024">
      <w:pPr>
        <w:pStyle w:val="p"/>
      </w:pPr>
      <w:r>
        <w:rPr>
          <w:sz w:val="24"/>
          <w:szCs w:val="24"/>
        </w:rPr>
        <w:br/>
      </w:r>
      <w:r>
        <w:rPr>
          <w:b/>
          <w:bCs/>
        </w:rPr>
        <w:t xml:space="preserve">9.3.2. Real Property Taxes </w:t>
      </w:r>
      <w:r>
        <w:rPr>
          <w:b/>
          <w:bCs/>
        </w:rPr>
        <w:br/>
      </w:r>
      <w:r>
        <w:t>Each local authority levies real property taxes, with the rates varying between local authorities.</w:t>
      </w:r>
    </w:p>
    <w:p w14:paraId="3B85F8C0" w14:textId="77777777" w:rsidR="00431024" w:rsidRDefault="00431024">
      <w:pPr>
        <w:pStyle w:val="p"/>
      </w:pPr>
      <w:r>
        <w:rPr>
          <w:sz w:val="24"/>
          <w:szCs w:val="24"/>
        </w:rPr>
        <w:br/>
      </w:r>
      <w:r>
        <w:rPr>
          <w:b/>
          <w:bCs/>
        </w:rPr>
        <w:t xml:space="preserve">9.3.3. Taxes on Movable Property </w:t>
      </w:r>
      <w:r>
        <w:rPr>
          <w:b/>
          <w:bCs/>
        </w:rPr>
        <w:br/>
      </w:r>
      <w:r>
        <w:t>There is no personal property tax in Uganda.</w:t>
      </w:r>
    </w:p>
    <w:p w14:paraId="1DA4BD36" w14:textId="77777777" w:rsidR="00431024" w:rsidRDefault="00431024">
      <w:pPr>
        <w:pStyle w:val="p"/>
      </w:pPr>
      <w:r>
        <w:rPr>
          <w:sz w:val="24"/>
          <w:szCs w:val="24"/>
        </w:rPr>
        <w:lastRenderedPageBreak/>
        <w:br/>
      </w:r>
      <w:r>
        <w:rPr>
          <w:b/>
          <w:bCs/>
        </w:rPr>
        <w:t xml:space="preserve">9.3.4. Fixed Asset Taxes </w:t>
      </w:r>
      <w:r>
        <w:rPr>
          <w:b/>
          <w:bCs/>
        </w:rPr>
        <w:br/>
      </w:r>
      <w:r>
        <w:t>There is no fixed asset tax in Uganda.</w:t>
      </w:r>
    </w:p>
    <w:p w14:paraId="53FB83D4" w14:textId="77777777" w:rsidR="00431024" w:rsidRDefault="00431024">
      <w:pPr>
        <w:pStyle w:val="p"/>
      </w:pPr>
      <w:r>
        <w:rPr>
          <w:sz w:val="24"/>
          <w:szCs w:val="24"/>
        </w:rPr>
        <w:br/>
      </w:r>
      <w:r>
        <w:rPr>
          <w:b/>
          <w:bCs/>
        </w:rPr>
        <w:t xml:space="preserve">9.4. Miscellaneous Taxes </w:t>
      </w:r>
      <w:r>
        <w:rPr>
          <w:b/>
          <w:bCs/>
        </w:rPr>
        <w:br/>
      </w:r>
      <w:r>
        <w:t xml:space="preserve">The following taxes are imposed in Uganda: </w:t>
      </w:r>
    </w:p>
    <w:p w14:paraId="72FD333B" w14:textId="77777777" w:rsidR="00431024" w:rsidRDefault="003931E2">
      <w:pPr>
        <w:pStyle w:val="p"/>
      </w:pPr>
      <w:r w:rsidRPr="00D7377F">
        <w:rPr>
          <w:noProof/>
        </w:rPr>
        <w:drawing>
          <wp:inline distT="0" distB="0" distL="0" distR="0" wp14:anchorId="19271142" wp14:editId="0ACDD697">
            <wp:extent cx="89535" cy="89535"/>
            <wp:effectExtent l="0" t="0" r="0" b="0"/>
            <wp:docPr id="90"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customs duties;</w:t>
      </w:r>
    </w:p>
    <w:p w14:paraId="76A348C1" w14:textId="77777777" w:rsidR="00431024" w:rsidRDefault="003931E2">
      <w:pPr>
        <w:pStyle w:val="p"/>
      </w:pPr>
      <w:r w:rsidRPr="00D7377F">
        <w:rPr>
          <w:noProof/>
        </w:rPr>
        <w:drawing>
          <wp:inline distT="0" distB="0" distL="0" distR="0" wp14:anchorId="15AE0885" wp14:editId="5089897E">
            <wp:extent cx="89535" cy="89535"/>
            <wp:effectExtent l="0" t="0" r="0" b="0"/>
            <wp:docPr id="91"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stamp duty;</w:t>
      </w:r>
    </w:p>
    <w:p w14:paraId="712B0AB9" w14:textId="77777777" w:rsidR="00431024" w:rsidRDefault="003931E2">
      <w:pPr>
        <w:pStyle w:val="p"/>
      </w:pPr>
      <w:r w:rsidRPr="00D7377F">
        <w:rPr>
          <w:noProof/>
        </w:rPr>
        <w:drawing>
          <wp:inline distT="0" distB="0" distL="0" distR="0" wp14:anchorId="476C82EF" wp14:editId="28E7F4B3">
            <wp:extent cx="89535" cy="89535"/>
            <wp:effectExtent l="0" t="0" r="0" b="0"/>
            <wp:docPr id="92"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excise tax;</w:t>
      </w:r>
    </w:p>
    <w:p w14:paraId="1B4749BB" w14:textId="77777777" w:rsidR="00431024" w:rsidRDefault="003931E2">
      <w:pPr>
        <w:pStyle w:val="p"/>
      </w:pPr>
      <w:r w:rsidRPr="00D7377F">
        <w:rPr>
          <w:noProof/>
        </w:rPr>
        <w:drawing>
          <wp:inline distT="0" distB="0" distL="0" distR="0" wp14:anchorId="65A343C0" wp14:editId="436B1CF4">
            <wp:extent cx="89535" cy="89535"/>
            <wp:effectExtent l="0" t="0" r="0" b="0"/>
            <wp:docPr id="93"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local service tax; and</w:t>
      </w:r>
    </w:p>
    <w:p w14:paraId="18E43B6A" w14:textId="77777777" w:rsidR="00431024" w:rsidRDefault="003931E2">
      <w:pPr>
        <w:pStyle w:val="p"/>
      </w:pPr>
      <w:r w:rsidRPr="00D7377F">
        <w:rPr>
          <w:noProof/>
        </w:rPr>
        <w:drawing>
          <wp:inline distT="0" distB="0" distL="0" distR="0" wp14:anchorId="7F428E4F" wp14:editId="375A6C74">
            <wp:extent cx="89535" cy="89535"/>
            <wp:effectExtent l="0" t="0" r="0" b="0"/>
            <wp:docPr id="94"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 cy="89535"/>
                    </a:xfrm>
                    <a:prstGeom prst="rect">
                      <a:avLst/>
                    </a:prstGeom>
                    <a:noFill/>
                    <a:ln>
                      <a:noFill/>
                    </a:ln>
                  </pic:spPr>
                </pic:pic>
              </a:graphicData>
            </a:graphic>
          </wp:inline>
        </w:drawing>
      </w:r>
      <w:r w:rsidR="00431024">
        <w:t xml:space="preserve"> environmental levy for motor vehicles meeting certain criteria.</w:t>
      </w:r>
    </w:p>
    <w:p w14:paraId="06C818FE" w14:textId="77777777" w:rsidR="00431024" w:rsidRDefault="00431024">
      <w:pPr>
        <w:rPr>
          <w:sz w:val="24"/>
          <w:szCs w:val="24"/>
        </w:rPr>
      </w:pPr>
    </w:p>
    <w:p w14:paraId="457386B0" w14:textId="77777777" w:rsidR="00431024" w:rsidRDefault="00431024">
      <w:pPr>
        <w:pStyle w:val="p"/>
      </w:pPr>
      <w:r>
        <w:t>There is no inheritance tax, gift tax or wealth tax in Uganda.</w:t>
      </w:r>
    </w:p>
    <w:p w14:paraId="7C02F389" w14:textId="77777777" w:rsidR="00431024" w:rsidRDefault="00431024">
      <w:pPr>
        <w:pStyle w:val="p"/>
      </w:pPr>
      <w:r>
        <w:rPr>
          <w:b/>
          <w:bCs/>
        </w:rPr>
        <w:t>Value Added Tax (VAT)</w:t>
      </w:r>
    </w:p>
    <w:p w14:paraId="1845DAAA" w14:textId="77777777" w:rsidR="00431024" w:rsidRDefault="00431024">
      <w:pPr>
        <w:pStyle w:val="p"/>
      </w:pPr>
      <w:r>
        <w:t xml:space="preserve">For VAT and similar taxes, see the </w:t>
      </w:r>
      <w:commentRangeStart w:id="6"/>
      <w:r w:rsidR="005B1F31">
        <w:fldChar w:fldCharType="begin"/>
      </w:r>
      <w:r w:rsidR="005B1F31">
        <w:instrText>HYPERLINK "https://www.bloomberglaw.com/product/tax/document/25564028456"</w:instrText>
      </w:r>
      <w:r w:rsidR="005B1F31">
        <w:fldChar w:fldCharType="separate"/>
      </w:r>
      <w:r w:rsidRPr="005B1F31">
        <w:rPr>
          <w:rStyle w:val="Hyperlink"/>
        </w:rPr>
        <w:t>VAT Navigator</w:t>
      </w:r>
      <w:r w:rsidR="005B1F31">
        <w:fldChar w:fldCharType="end"/>
      </w:r>
      <w:commentRangeEnd w:id="6"/>
      <w:r w:rsidR="005B1F31">
        <w:rPr>
          <w:rStyle w:val="CommentReference"/>
        </w:rPr>
        <w:commentReference w:id="6"/>
      </w:r>
      <w:r>
        <w:t>.</w:t>
      </w:r>
    </w:p>
    <w:p w14:paraId="4AE26407" w14:textId="77777777" w:rsidR="00431024" w:rsidRDefault="00431024">
      <w:pPr>
        <w:pStyle w:val="p"/>
      </w:pPr>
      <w:r>
        <w:rPr>
          <w:sz w:val="24"/>
          <w:szCs w:val="24"/>
        </w:rPr>
        <w:br/>
      </w:r>
      <w:r>
        <w:rPr>
          <w:b/>
          <w:bCs/>
        </w:rPr>
        <w:t xml:space="preserve">10. Special Industries </w:t>
      </w:r>
      <w:r>
        <w:rPr>
          <w:b/>
          <w:bCs/>
        </w:rPr>
        <w:br/>
      </w:r>
      <w:r>
        <w:rPr>
          <w:b/>
          <w:bCs/>
        </w:rPr>
        <w:br/>
        <w:t xml:space="preserve">10.1. Oil, Gas and Mineral Extraction </w:t>
      </w:r>
      <w:r>
        <w:rPr>
          <w:b/>
          <w:bCs/>
        </w:rPr>
        <w:br/>
      </w:r>
      <w:r>
        <w:t>There are special provisions in Part IX A of the ITA concerning the taxation of petroleum and mining operations.</w:t>
      </w:r>
    </w:p>
    <w:p w14:paraId="6A244A31" w14:textId="77777777" w:rsidR="00431024" w:rsidRDefault="00431024">
      <w:pPr>
        <w:pStyle w:val="p"/>
      </w:pPr>
      <w:r>
        <w:t>The income tax rate for licensees in relation to petroleum and mining operations is 30 percent.</w:t>
      </w:r>
      <w:r>
        <w:rPr>
          <w:vertAlign w:val="superscript"/>
        </w:rPr>
        <w:t>13</w:t>
      </w:r>
      <w:r w:rsidRPr="0030192A">
        <w:rPr>
          <w:rStyle w:val="FootnoteReference"/>
        </w:rPr>
        <w:footnoteReference w:customMarkFollows="1" w:id="135"/>
        <w:t>3</w:t>
      </w:r>
    </w:p>
    <w:p w14:paraId="0D3F17FD" w14:textId="77777777" w:rsidR="00431024" w:rsidRDefault="00431024">
      <w:pPr>
        <w:pStyle w:val="p"/>
      </w:pPr>
      <w:r>
        <w:t>There are limitations on deductions relating to petroleum and mining operations. For instance, the amount a licensee may deduct in relation to petroleum operations in a contract area in a given year of income must not exceed the cost of oil derived from the operations in the contract area for that year. If the deductions exceed the cost of oil for that year of income, the excess is carried to the following year of income and is deductible for that year of income against the cost of oil for that year of income, until it is fully deducted or the petroleum operations in the contract area cease.</w:t>
      </w:r>
      <w:r>
        <w:rPr>
          <w:vertAlign w:val="superscript"/>
        </w:rPr>
        <w:t>13</w:t>
      </w:r>
      <w:r w:rsidRPr="0030192A">
        <w:rPr>
          <w:rStyle w:val="FootnoteReference"/>
        </w:rPr>
        <w:footnoteReference w:customMarkFollows="1" w:id="136"/>
        <w:t>4</w:t>
      </w:r>
    </w:p>
    <w:p w14:paraId="488804C0" w14:textId="77777777" w:rsidR="00431024" w:rsidRDefault="00431024">
      <w:pPr>
        <w:pStyle w:val="p"/>
      </w:pPr>
      <w:r>
        <w:t>A 15 percent withholding tax applies to payments of participation dividends by a resident contractor to a nonresident company.</w:t>
      </w:r>
      <w:r>
        <w:rPr>
          <w:vertAlign w:val="superscript"/>
        </w:rPr>
        <w:t>13</w:t>
      </w:r>
      <w:r w:rsidRPr="0030192A">
        <w:rPr>
          <w:rStyle w:val="FootnoteReference"/>
        </w:rPr>
        <w:footnoteReference w:customMarkFollows="1" w:id="137"/>
        <w:t>5</w:t>
      </w:r>
      <w:r>
        <w:t xml:space="preserve"> A participation dividend in relation a resident licensee means a dividend paid by the licensee to a nonresident company that has a 10 percent or greater voting interest in the voting power of a licensee.</w:t>
      </w:r>
    </w:p>
    <w:p w14:paraId="252B0A4D" w14:textId="77777777" w:rsidR="00431024" w:rsidRDefault="00431024">
      <w:pPr>
        <w:pStyle w:val="p"/>
      </w:pPr>
      <w:r>
        <w:t>A nonresident contractor tax of 10 percent applies to a nonresident contractor who derives a fee for the provision of services to a licensee in respect of mining or petroleum operations.</w:t>
      </w:r>
      <w:r>
        <w:rPr>
          <w:vertAlign w:val="superscript"/>
        </w:rPr>
        <w:t>13</w:t>
      </w:r>
      <w:r w:rsidRPr="0030192A">
        <w:rPr>
          <w:rStyle w:val="FootnoteReference"/>
        </w:rPr>
        <w:footnoteReference w:customMarkFollows="1" w:id="138"/>
        <w:t>6</w:t>
      </w:r>
    </w:p>
    <w:p w14:paraId="7F36E98F" w14:textId="77777777" w:rsidR="00431024" w:rsidRDefault="00431024">
      <w:pPr>
        <w:pStyle w:val="p"/>
      </w:pPr>
      <w:r>
        <w:lastRenderedPageBreak/>
        <w:t>Licensees in the oil and mineral extraction industries must account on an accrual basis and all their transactions must be accounted for at arm's</w:t>
      </w:r>
      <w:r w:rsidR="00C770C4">
        <w:t xml:space="preserve"> </w:t>
      </w:r>
      <w:r>
        <w:t>length prices.</w:t>
      </w:r>
      <w:r>
        <w:rPr>
          <w:vertAlign w:val="superscript"/>
        </w:rPr>
        <w:t>13</w:t>
      </w:r>
      <w:r w:rsidRPr="0030192A">
        <w:rPr>
          <w:rStyle w:val="FootnoteReference"/>
        </w:rPr>
        <w:footnoteReference w:customMarkFollows="1" w:id="139"/>
        <w:t>7</w:t>
      </w:r>
    </w:p>
    <w:p w14:paraId="78AB1EFD" w14:textId="77777777" w:rsidR="00431024" w:rsidRDefault="00431024">
      <w:pPr>
        <w:pStyle w:val="p"/>
      </w:pPr>
      <w:r>
        <w:t>There are additional levies on processed gold and unprocessed minerals exported out of Uganda.</w:t>
      </w:r>
      <w:r>
        <w:rPr>
          <w:vertAlign w:val="superscript"/>
        </w:rPr>
        <w:t>13</w:t>
      </w:r>
      <w:r w:rsidRPr="0030192A">
        <w:rPr>
          <w:rStyle w:val="FootnoteReference"/>
        </w:rPr>
        <w:footnoteReference w:customMarkFollows="1" w:id="140"/>
        <w:t>8</w:t>
      </w:r>
    </w:p>
    <w:p w14:paraId="57D0BC7B" w14:textId="77777777" w:rsidR="00431024" w:rsidRDefault="00431024">
      <w:pPr>
        <w:pStyle w:val="p"/>
      </w:pPr>
      <w:r>
        <w:rPr>
          <w:sz w:val="24"/>
          <w:szCs w:val="24"/>
        </w:rPr>
        <w:br/>
      </w:r>
      <w:r>
        <w:rPr>
          <w:b/>
          <w:bCs/>
        </w:rPr>
        <w:t xml:space="preserve">10.2. Banking and Finance </w:t>
      </w:r>
      <w:r>
        <w:rPr>
          <w:b/>
          <w:bCs/>
        </w:rPr>
        <w:br/>
      </w:r>
      <w:r>
        <w:t>There are no special taxes applicable to the banking and finance industry.</w:t>
      </w:r>
    </w:p>
    <w:p w14:paraId="7DDB9C29" w14:textId="77777777" w:rsidR="00431024" w:rsidRDefault="00431024">
      <w:pPr>
        <w:pStyle w:val="p"/>
      </w:pPr>
      <w:r>
        <w:rPr>
          <w:sz w:val="24"/>
          <w:szCs w:val="24"/>
        </w:rPr>
        <w:br/>
      </w:r>
      <w:r>
        <w:rPr>
          <w:b/>
          <w:bCs/>
        </w:rPr>
        <w:t xml:space="preserve">11. About the Authors </w:t>
      </w:r>
      <w:r>
        <w:rPr>
          <w:b/>
          <w:bCs/>
        </w:rPr>
        <w:br/>
      </w:r>
      <w:r>
        <w:t>Flavia Suubo and Fiona N. Magona</w:t>
      </w:r>
    </w:p>
    <w:p w14:paraId="6D02DD28" w14:textId="77777777" w:rsidR="00431024" w:rsidRDefault="00431024">
      <w:pPr>
        <w:pStyle w:val="p"/>
      </w:pPr>
      <w:r>
        <w:rPr>
          <w:i/>
          <w:iCs/>
        </w:rPr>
        <w:t>MMAKS Advocates</w:t>
      </w:r>
    </w:p>
    <w:p w14:paraId="21EB48EF" w14:textId="77777777" w:rsidR="00431024" w:rsidRDefault="00431024">
      <w:pPr>
        <w:pStyle w:val="p"/>
      </w:pPr>
      <w:r>
        <w:rPr>
          <w:i/>
          <w:iCs/>
        </w:rPr>
        <w:t xml:space="preserve">Last reviewed/updated: </w:t>
      </w:r>
      <w:r w:rsidR="00D45913">
        <w:rPr>
          <w:i/>
          <w:iCs/>
        </w:rPr>
        <w:t>September 12, 2023</w:t>
      </w:r>
    </w:p>
    <w:p w14:paraId="5A59C6F9" w14:textId="77777777" w:rsidR="00431024" w:rsidRDefault="00431024">
      <w:pPr>
        <w:rPr>
          <w:sz w:val="24"/>
          <w:szCs w:val="24"/>
        </w:rPr>
      </w:pPr>
    </w:p>
    <w:p w14:paraId="4133299B" w14:textId="77777777" w:rsidR="00431024" w:rsidRDefault="00431024">
      <w:pPr>
        <w:jc w:val="center"/>
      </w:pPr>
      <w:r>
        <w:rPr>
          <w:sz w:val="24"/>
          <w:szCs w:val="24"/>
        </w:rPr>
        <w:t>Copyright©202</w:t>
      </w:r>
      <w:r w:rsidR="00D45913">
        <w:rPr>
          <w:sz w:val="24"/>
          <w:szCs w:val="24"/>
        </w:rPr>
        <w:t>3</w:t>
      </w:r>
      <w:r>
        <w:rPr>
          <w:sz w:val="24"/>
          <w:szCs w:val="24"/>
        </w:rPr>
        <w:t xml:space="preserve"> by The Bureau of National Affairs, Inc.</w:t>
      </w:r>
    </w:p>
    <w:sectPr w:rsidR="00431024" w:rsidSect="00331FFB">
      <w:type w:val="continuous"/>
      <w:pgSz w:w="12240" w:h="15840"/>
      <w:pgMar w:top="1440" w:right="1440" w:bottom="1440" w:left="144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Parello, Christina" w:date="2023-09-19T08:54:00Z" w:initials="PC">
    <w:p w14:paraId="22FF6C71" w14:textId="77777777" w:rsidR="00000000" w:rsidRDefault="006C16C4" w:rsidP="007A55B1">
      <w:pPr>
        <w:pStyle w:val="CommentText"/>
      </w:pPr>
      <w:r>
        <w:rPr>
          <w:rStyle w:val="CommentReference"/>
        </w:rPr>
        <w:annotationRef/>
      </w:r>
      <w:r>
        <w:t xml:space="preserve">Link - </w:t>
      </w:r>
      <w:hyperlink r:id="rId1" w:history="1">
        <w:r w:rsidRPr="007A55B1">
          <w:rPr>
            <w:rStyle w:val="Hyperlink"/>
          </w:rPr>
          <w:t>https://www.bloomberglaw.com/product/tax/search/results/83d6128383a56c7d4ebf69e5fd32933b/</w:t>
        </w:r>
      </w:hyperlink>
    </w:p>
  </w:comment>
  <w:comment w:id="6" w:author="Parello, Christina" w:date="2023-09-19T09:01:00Z" w:initials="PC">
    <w:p w14:paraId="3BEFFDC6" w14:textId="77777777" w:rsidR="00000000" w:rsidRDefault="005B1F31" w:rsidP="00747708">
      <w:pPr>
        <w:pStyle w:val="CommentText"/>
      </w:pPr>
      <w:r>
        <w:rPr>
          <w:rStyle w:val="CommentReference"/>
        </w:rPr>
        <w:annotationRef/>
      </w:r>
      <w:r>
        <w:t xml:space="preserve">Link - </w:t>
      </w:r>
      <w:hyperlink r:id="rId2" w:history="1">
        <w:r w:rsidRPr="00747708">
          <w:rPr>
            <w:rStyle w:val="Hyperlink"/>
          </w:rPr>
          <w:t>https://www.bloomberglaw.com/product/tax/document/25564028456</w:t>
        </w:r>
      </w:hyperlink>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FF6C71" w15:done="0"/>
  <w15:commentEx w15:paraId="3BEFFDC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FF6C71" w16cid:durableId="28BD86A2"/>
  <w16cid:commentId w16cid:paraId="3BEFFDC6" w16cid:durableId="28BD86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2BD1D" w14:textId="77777777" w:rsidR="003931E2" w:rsidRDefault="003931E2">
      <w:r>
        <w:separator/>
      </w:r>
    </w:p>
  </w:endnote>
  <w:endnote w:type="continuationSeparator" w:id="0">
    <w:p w14:paraId="5F0C8859" w14:textId="77777777" w:rsidR="003931E2" w:rsidRDefault="00393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l‚r ?S?V?b?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F6C47" w14:textId="77777777" w:rsidR="003931E2" w:rsidRDefault="003931E2">
      <w:r>
        <w:separator/>
      </w:r>
    </w:p>
  </w:footnote>
  <w:footnote w:type="continuationSeparator" w:id="0">
    <w:p w14:paraId="1A102840" w14:textId="77777777" w:rsidR="003931E2" w:rsidRDefault="003931E2">
      <w:r>
        <w:continuationSeparator/>
      </w:r>
    </w:p>
  </w:footnote>
  <w:footnote w:id="1">
    <w:p w14:paraId="0A97C005" w14:textId="77777777" w:rsidR="00431024" w:rsidRDefault="00431024">
      <w:pPr>
        <w:pStyle w:val="p"/>
      </w:pPr>
      <w:r w:rsidRPr="0030192A">
        <w:rPr>
          <w:rStyle w:val="FootnoteReference"/>
        </w:rPr>
        <w:t xml:space="preserve"> </w:t>
      </w:r>
      <w:r>
        <w:rPr>
          <w:vertAlign w:val="superscript"/>
        </w:rPr>
        <w:t>1</w:t>
      </w:r>
      <w:r>
        <w:t xml:space="preserve"> S.45(1)</w:t>
      </w:r>
      <w:r w:rsidR="00E66F23">
        <w:t xml:space="preserve"> </w:t>
      </w:r>
      <w:r>
        <w:t>TPCA</w:t>
      </w:r>
      <w:r w:rsidR="00E66F23">
        <w:t>, 2014</w:t>
      </w:r>
      <w:r>
        <w:t>.</w:t>
      </w:r>
    </w:p>
    <w:p w14:paraId="7AAE474B" w14:textId="77777777" w:rsidR="00000000" w:rsidRDefault="005C1232">
      <w:pPr>
        <w:pStyle w:val="p"/>
      </w:pPr>
    </w:p>
  </w:footnote>
  <w:footnote w:id="2">
    <w:p w14:paraId="0AF21364" w14:textId="77777777" w:rsidR="00431024" w:rsidRDefault="00431024">
      <w:pPr>
        <w:pStyle w:val="p"/>
      </w:pPr>
      <w:r w:rsidRPr="0030192A">
        <w:rPr>
          <w:rStyle w:val="FootnoteReference"/>
        </w:rPr>
        <w:t xml:space="preserve"> </w:t>
      </w:r>
      <w:r>
        <w:rPr>
          <w:vertAlign w:val="superscript"/>
        </w:rPr>
        <w:t>2</w:t>
      </w:r>
      <w:r>
        <w:t xml:space="preserve"> S.44(1)</w:t>
      </w:r>
      <w:r w:rsidR="00E66F23">
        <w:t xml:space="preserve"> </w:t>
      </w:r>
      <w:r>
        <w:t>TPCA</w:t>
      </w:r>
      <w:r w:rsidR="00E66F23">
        <w:t>, 2014</w:t>
      </w:r>
      <w:r>
        <w:t>.</w:t>
      </w:r>
    </w:p>
    <w:p w14:paraId="03DEA2A6" w14:textId="77777777" w:rsidR="00000000" w:rsidRDefault="005C1232">
      <w:pPr>
        <w:pStyle w:val="p"/>
      </w:pPr>
    </w:p>
  </w:footnote>
  <w:footnote w:id="3">
    <w:p w14:paraId="0F125A14" w14:textId="77777777" w:rsidR="00431024" w:rsidRDefault="00431024">
      <w:pPr>
        <w:pStyle w:val="p"/>
      </w:pPr>
      <w:r w:rsidRPr="0030192A">
        <w:rPr>
          <w:rStyle w:val="FootnoteReference"/>
        </w:rPr>
        <w:t xml:space="preserve"> </w:t>
      </w:r>
      <w:r>
        <w:rPr>
          <w:vertAlign w:val="superscript"/>
        </w:rPr>
        <w:t>3</w:t>
      </w:r>
      <w:r>
        <w:t xml:space="preserve"> Ss.44(3), 45(3) TPCA</w:t>
      </w:r>
      <w:r w:rsidR="00E66F23">
        <w:t>, 2014</w:t>
      </w:r>
      <w:r>
        <w:t>.</w:t>
      </w:r>
    </w:p>
    <w:p w14:paraId="4E166557" w14:textId="77777777" w:rsidR="00000000" w:rsidRDefault="005C1232">
      <w:pPr>
        <w:pStyle w:val="p"/>
      </w:pPr>
    </w:p>
  </w:footnote>
  <w:footnote w:id="4">
    <w:p w14:paraId="4C3A9DA9" w14:textId="77777777" w:rsidR="00431024" w:rsidRDefault="00431024">
      <w:pPr>
        <w:pStyle w:val="p"/>
      </w:pPr>
      <w:r w:rsidRPr="0030192A">
        <w:rPr>
          <w:rStyle w:val="FootnoteReference"/>
        </w:rPr>
        <w:t xml:space="preserve"> </w:t>
      </w:r>
      <w:r>
        <w:rPr>
          <w:vertAlign w:val="superscript"/>
        </w:rPr>
        <w:t>4</w:t>
      </w:r>
      <w:r>
        <w:t xml:space="preserve"> S.45(5) TPCA</w:t>
      </w:r>
      <w:r w:rsidR="00E66F23">
        <w:t>, 2014</w:t>
      </w:r>
      <w:r>
        <w:t>.</w:t>
      </w:r>
    </w:p>
    <w:p w14:paraId="7FBF3B2D" w14:textId="77777777" w:rsidR="00000000" w:rsidRDefault="005C1232">
      <w:pPr>
        <w:pStyle w:val="p"/>
      </w:pPr>
    </w:p>
  </w:footnote>
  <w:footnote w:id="5">
    <w:p w14:paraId="664E24EE" w14:textId="77777777" w:rsidR="00431024" w:rsidRDefault="00431024" w:rsidP="0054249C">
      <w:pPr>
        <w:pStyle w:val="p"/>
      </w:pPr>
      <w:r w:rsidRPr="0030192A">
        <w:rPr>
          <w:rStyle w:val="FootnoteReference"/>
        </w:rPr>
        <w:t xml:space="preserve"> </w:t>
      </w:r>
      <w:r>
        <w:rPr>
          <w:vertAlign w:val="superscript"/>
        </w:rPr>
        <w:t>5</w:t>
      </w:r>
      <w:r>
        <w:t xml:space="preserve"> Ss.17(1), (2)(a) ITA,</w:t>
      </w:r>
      <w:r w:rsidR="00E66F23">
        <w:t xml:space="preserve"> </w:t>
      </w:r>
      <w:r w:rsidR="005414FC">
        <w:t xml:space="preserve">Cap 340 of </w:t>
      </w:r>
      <w:r w:rsidR="00E66F23">
        <w:t>1997.</w:t>
      </w:r>
    </w:p>
    <w:p w14:paraId="5EEBBAC4" w14:textId="77777777" w:rsidR="00000000" w:rsidRDefault="005C1232" w:rsidP="0054249C">
      <w:pPr>
        <w:pStyle w:val="p"/>
      </w:pPr>
    </w:p>
  </w:footnote>
  <w:footnote w:id="6">
    <w:p w14:paraId="1468D828" w14:textId="77777777" w:rsidR="00431024" w:rsidRDefault="00431024">
      <w:pPr>
        <w:pStyle w:val="p"/>
      </w:pPr>
      <w:r w:rsidRPr="0030192A">
        <w:rPr>
          <w:rStyle w:val="FootnoteReference"/>
        </w:rPr>
        <w:t xml:space="preserve"> </w:t>
      </w:r>
      <w:r>
        <w:rPr>
          <w:vertAlign w:val="superscript"/>
        </w:rPr>
        <w:t>6</w:t>
      </w:r>
      <w:r>
        <w:t xml:space="preserve"> Ss.18, 20 ITA,</w:t>
      </w:r>
      <w:r w:rsidR="00E66F23">
        <w:t xml:space="preserve"> </w:t>
      </w:r>
      <w:r w:rsidR="005414FC">
        <w:t xml:space="preserve">Cap 340 of </w:t>
      </w:r>
      <w:r w:rsidR="00E66F23">
        <w:t>1997</w:t>
      </w:r>
      <w:r w:rsidR="005414FC">
        <w:t>.</w:t>
      </w:r>
    </w:p>
    <w:p w14:paraId="1539400A" w14:textId="77777777" w:rsidR="00000000" w:rsidRDefault="005C1232">
      <w:pPr>
        <w:pStyle w:val="p"/>
      </w:pPr>
    </w:p>
  </w:footnote>
  <w:footnote w:id="7">
    <w:p w14:paraId="505A7A60" w14:textId="77777777" w:rsidR="00431024" w:rsidRDefault="00431024">
      <w:pPr>
        <w:pStyle w:val="p"/>
      </w:pPr>
      <w:r w:rsidRPr="0030192A">
        <w:rPr>
          <w:rStyle w:val="FootnoteReference"/>
        </w:rPr>
        <w:t xml:space="preserve"> </w:t>
      </w:r>
      <w:r>
        <w:rPr>
          <w:vertAlign w:val="superscript"/>
        </w:rPr>
        <w:t>7</w:t>
      </w:r>
      <w:r>
        <w:t xml:space="preserve"> S.17(2)(b) ITA, </w:t>
      </w:r>
      <w:r w:rsidR="005414FC">
        <w:t xml:space="preserve">Cap 340 of </w:t>
      </w:r>
      <w:r w:rsidR="008642F9">
        <w:t>1997</w:t>
      </w:r>
      <w:r>
        <w:t>.</w:t>
      </w:r>
    </w:p>
    <w:p w14:paraId="3A159E4D" w14:textId="77777777" w:rsidR="00000000" w:rsidRDefault="005C1232">
      <w:pPr>
        <w:pStyle w:val="p"/>
      </w:pPr>
    </w:p>
  </w:footnote>
  <w:footnote w:id="8">
    <w:p w14:paraId="6A66B940" w14:textId="77777777" w:rsidR="00431024" w:rsidRDefault="00431024">
      <w:pPr>
        <w:pStyle w:val="p"/>
      </w:pPr>
      <w:r w:rsidRPr="0030192A">
        <w:rPr>
          <w:rStyle w:val="FootnoteReference"/>
        </w:rPr>
        <w:t xml:space="preserve"> </w:t>
      </w:r>
      <w:r>
        <w:rPr>
          <w:vertAlign w:val="superscript"/>
        </w:rPr>
        <w:t>8</w:t>
      </w:r>
      <w:r>
        <w:t xml:space="preserve"> Ss.65(3), 67 (1) ITA, </w:t>
      </w:r>
      <w:r w:rsidR="005414FC">
        <w:t xml:space="preserve">Cap 340 of </w:t>
      </w:r>
      <w:r w:rsidR="008642F9">
        <w:t>1997</w:t>
      </w:r>
      <w:r>
        <w:t>.</w:t>
      </w:r>
    </w:p>
    <w:p w14:paraId="01DDBED2" w14:textId="77777777" w:rsidR="00000000" w:rsidRDefault="005C1232">
      <w:pPr>
        <w:pStyle w:val="p"/>
      </w:pPr>
    </w:p>
  </w:footnote>
  <w:footnote w:id="9">
    <w:p w14:paraId="32EE275A" w14:textId="77777777" w:rsidR="00431024" w:rsidRDefault="00431024">
      <w:pPr>
        <w:pStyle w:val="p"/>
      </w:pPr>
      <w:r w:rsidRPr="0030192A">
        <w:rPr>
          <w:rStyle w:val="FootnoteReference"/>
        </w:rPr>
        <w:t xml:space="preserve"> </w:t>
      </w:r>
      <w:r>
        <w:rPr>
          <w:vertAlign w:val="superscript"/>
        </w:rPr>
        <w:t>9</w:t>
      </w:r>
      <w:r>
        <w:t xml:space="preserve"> S.71(1), (4) ITA, </w:t>
      </w:r>
      <w:r w:rsidR="005414FC">
        <w:t xml:space="preserve">Cap 340 of </w:t>
      </w:r>
      <w:r w:rsidR="008642F9">
        <w:t>1997</w:t>
      </w:r>
      <w:r>
        <w:t>.</w:t>
      </w:r>
    </w:p>
    <w:p w14:paraId="75686FDA" w14:textId="77777777" w:rsidR="00000000" w:rsidRDefault="005C1232">
      <w:pPr>
        <w:pStyle w:val="p"/>
      </w:pPr>
    </w:p>
  </w:footnote>
  <w:footnote w:id="10">
    <w:p w14:paraId="4297EBF7" w14:textId="77777777" w:rsidR="00431024" w:rsidRDefault="00431024">
      <w:pPr>
        <w:pStyle w:val="p"/>
      </w:pPr>
      <w:r w:rsidRPr="0030192A">
        <w:rPr>
          <w:rStyle w:val="FootnoteReference"/>
        </w:rPr>
        <w:t xml:space="preserve"> </w:t>
      </w:r>
      <w:r>
        <w:rPr>
          <w:vertAlign w:val="superscript"/>
        </w:rPr>
        <w:t>10</w:t>
      </w:r>
      <w:r>
        <w:t xml:space="preserve"> S.72(1) ITA,</w:t>
      </w:r>
      <w:r w:rsidR="005414FC">
        <w:t xml:space="preserve"> Cap 340 of</w:t>
      </w:r>
      <w:r>
        <w:t xml:space="preserve"> </w:t>
      </w:r>
      <w:r w:rsidR="008642F9">
        <w:t>1997</w:t>
      </w:r>
      <w:r>
        <w:t>.</w:t>
      </w:r>
    </w:p>
    <w:p w14:paraId="5944409D" w14:textId="77777777" w:rsidR="00000000" w:rsidRDefault="005C1232">
      <w:pPr>
        <w:pStyle w:val="p"/>
      </w:pPr>
    </w:p>
  </w:footnote>
  <w:footnote w:id="11">
    <w:p w14:paraId="2A6FB7BB" w14:textId="77777777" w:rsidR="00431024" w:rsidRDefault="00431024">
      <w:pPr>
        <w:pStyle w:val="p"/>
      </w:pPr>
      <w:r w:rsidRPr="0030192A">
        <w:rPr>
          <w:rStyle w:val="FootnoteReference"/>
        </w:rPr>
        <w:t xml:space="preserve"> </w:t>
      </w:r>
      <w:r>
        <w:rPr>
          <w:vertAlign w:val="superscript"/>
        </w:rPr>
        <w:t>11</w:t>
      </w:r>
      <w:r>
        <w:t xml:space="preserve"> S.78(a) ITA, </w:t>
      </w:r>
      <w:r w:rsidR="005414FC">
        <w:t xml:space="preserve">Cap 340 of </w:t>
      </w:r>
      <w:r w:rsidR="008642F9">
        <w:t>1997</w:t>
      </w:r>
      <w:r w:rsidR="004D01D7">
        <w:t>, as amended by Income Tax (Amendment) (No. 2) Act, 2023.</w:t>
      </w:r>
    </w:p>
    <w:p w14:paraId="1AE83B9B" w14:textId="77777777" w:rsidR="00000000" w:rsidRDefault="005C1232">
      <w:pPr>
        <w:pStyle w:val="p"/>
      </w:pPr>
    </w:p>
  </w:footnote>
  <w:footnote w:id="12">
    <w:p w14:paraId="5A436566" w14:textId="77777777" w:rsidR="00431024" w:rsidRDefault="00431024">
      <w:pPr>
        <w:pStyle w:val="p"/>
      </w:pPr>
      <w:r w:rsidRPr="0030192A">
        <w:rPr>
          <w:rStyle w:val="FootnoteReference"/>
        </w:rPr>
        <w:t xml:space="preserve"> </w:t>
      </w:r>
      <w:r>
        <w:rPr>
          <w:vertAlign w:val="superscript"/>
        </w:rPr>
        <w:t>12</w:t>
      </w:r>
      <w:r>
        <w:t xml:space="preserve"> S.78(a) ITA, </w:t>
      </w:r>
      <w:r w:rsidR="005414FC">
        <w:t xml:space="preserve">Cap 340 of </w:t>
      </w:r>
      <w:r w:rsidR="008642F9">
        <w:t>1997</w:t>
      </w:r>
      <w:r>
        <w:t>.</w:t>
      </w:r>
    </w:p>
    <w:p w14:paraId="6695EDD1" w14:textId="77777777" w:rsidR="00000000" w:rsidRDefault="005C1232">
      <w:pPr>
        <w:pStyle w:val="p"/>
      </w:pPr>
    </w:p>
  </w:footnote>
  <w:footnote w:id="13">
    <w:p w14:paraId="20D15D1E" w14:textId="77777777" w:rsidR="00431024" w:rsidRDefault="00431024">
      <w:pPr>
        <w:pStyle w:val="p"/>
      </w:pPr>
      <w:r w:rsidRPr="0030192A">
        <w:rPr>
          <w:rStyle w:val="FootnoteReference"/>
        </w:rPr>
        <w:t xml:space="preserve"> </w:t>
      </w:r>
      <w:r>
        <w:rPr>
          <w:vertAlign w:val="superscript"/>
        </w:rPr>
        <w:t>13</w:t>
      </w:r>
      <w:r>
        <w:t xml:space="preserve"> S.2 (mmm) ITA, </w:t>
      </w:r>
      <w:r w:rsidR="005414FC">
        <w:t xml:space="preserve">Cap 340 of </w:t>
      </w:r>
      <w:r w:rsidR="008642F9">
        <w:t>1997</w:t>
      </w:r>
      <w:r>
        <w:t>.</w:t>
      </w:r>
    </w:p>
    <w:p w14:paraId="1AEE1AD9" w14:textId="77777777" w:rsidR="00000000" w:rsidRDefault="005C1232">
      <w:pPr>
        <w:pStyle w:val="p"/>
      </w:pPr>
    </w:p>
  </w:footnote>
  <w:footnote w:id="14">
    <w:p w14:paraId="3B88AD3B" w14:textId="77777777" w:rsidR="00431024" w:rsidRDefault="00431024">
      <w:pPr>
        <w:pStyle w:val="p"/>
      </w:pPr>
      <w:r w:rsidRPr="0030192A">
        <w:rPr>
          <w:rStyle w:val="FootnoteReference"/>
        </w:rPr>
        <w:t xml:space="preserve"> </w:t>
      </w:r>
      <w:r>
        <w:rPr>
          <w:vertAlign w:val="superscript"/>
        </w:rPr>
        <w:t>14</w:t>
      </w:r>
      <w:r>
        <w:t xml:space="preserve"> S.2 (zzz) ITA,</w:t>
      </w:r>
      <w:r w:rsidR="008642F9">
        <w:t xml:space="preserve"> </w:t>
      </w:r>
      <w:r w:rsidR="005414FC">
        <w:t xml:space="preserve">Cap 340 of </w:t>
      </w:r>
      <w:r w:rsidR="008642F9">
        <w:t>1997</w:t>
      </w:r>
      <w:r>
        <w:t>.</w:t>
      </w:r>
    </w:p>
    <w:p w14:paraId="056A8555" w14:textId="77777777" w:rsidR="00000000" w:rsidRDefault="005C1232">
      <w:pPr>
        <w:pStyle w:val="p"/>
      </w:pPr>
    </w:p>
  </w:footnote>
  <w:footnote w:id="15">
    <w:p w14:paraId="6289B9A3" w14:textId="77777777" w:rsidR="00431024" w:rsidRDefault="00431024">
      <w:pPr>
        <w:pStyle w:val="p"/>
      </w:pPr>
      <w:r w:rsidRPr="0030192A">
        <w:rPr>
          <w:rStyle w:val="FootnoteReference"/>
        </w:rPr>
        <w:t xml:space="preserve"> </w:t>
      </w:r>
      <w:r>
        <w:rPr>
          <w:vertAlign w:val="superscript"/>
        </w:rPr>
        <w:t>15</w:t>
      </w:r>
      <w:r>
        <w:t xml:space="preserve"> Ss.2 (zzz), 4(1) ITA, </w:t>
      </w:r>
      <w:r w:rsidR="005414FC">
        <w:t xml:space="preserve">Cap 340 of </w:t>
      </w:r>
      <w:r w:rsidR="008642F9">
        <w:t>1997</w:t>
      </w:r>
      <w:r>
        <w:t>.</w:t>
      </w:r>
    </w:p>
    <w:p w14:paraId="58A37F0D" w14:textId="77777777" w:rsidR="00000000" w:rsidRDefault="005C1232">
      <w:pPr>
        <w:pStyle w:val="p"/>
      </w:pPr>
    </w:p>
  </w:footnote>
  <w:footnote w:id="16">
    <w:p w14:paraId="134DF196" w14:textId="77777777" w:rsidR="00431024" w:rsidRDefault="00431024">
      <w:pPr>
        <w:pStyle w:val="p"/>
      </w:pPr>
      <w:r w:rsidRPr="0030192A">
        <w:rPr>
          <w:rStyle w:val="FootnoteReference"/>
        </w:rPr>
        <w:t xml:space="preserve"> </w:t>
      </w:r>
      <w:r>
        <w:rPr>
          <w:vertAlign w:val="superscript"/>
        </w:rPr>
        <w:t>16</w:t>
      </w:r>
      <w:r>
        <w:t xml:space="preserve"> S.39(3) ITA, </w:t>
      </w:r>
      <w:r w:rsidR="005414FC">
        <w:t xml:space="preserve">Cap 340 of </w:t>
      </w:r>
      <w:r w:rsidR="008642F9">
        <w:t>1997</w:t>
      </w:r>
      <w:r>
        <w:t>.</w:t>
      </w:r>
    </w:p>
    <w:p w14:paraId="3039D57E" w14:textId="77777777" w:rsidR="00000000" w:rsidRDefault="005C1232">
      <w:pPr>
        <w:pStyle w:val="p"/>
      </w:pPr>
    </w:p>
  </w:footnote>
  <w:footnote w:id="17">
    <w:p w14:paraId="35C01FFC" w14:textId="77777777" w:rsidR="00431024" w:rsidRDefault="00431024">
      <w:pPr>
        <w:pStyle w:val="p"/>
      </w:pPr>
      <w:r w:rsidRPr="0030192A">
        <w:rPr>
          <w:rStyle w:val="FootnoteReference"/>
        </w:rPr>
        <w:t xml:space="preserve"> </w:t>
      </w:r>
      <w:r>
        <w:rPr>
          <w:vertAlign w:val="superscript"/>
        </w:rPr>
        <w:t>17</w:t>
      </w:r>
      <w:r>
        <w:t xml:space="preserve"> S.92A IT</w:t>
      </w:r>
      <w:r w:rsidR="00E3237A">
        <w:t>A</w:t>
      </w:r>
      <w:r>
        <w:t>; S.16 TPCA</w:t>
      </w:r>
      <w:r w:rsidR="008642F9">
        <w:t>, 2014</w:t>
      </w:r>
      <w:r>
        <w:t>.</w:t>
      </w:r>
    </w:p>
    <w:p w14:paraId="2697DEE4" w14:textId="77777777" w:rsidR="00000000" w:rsidRDefault="005C1232">
      <w:pPr>
        <w:pStyle w:val="p"/>
      </w:pPr>
    </w:p>
  </w:footnote>
  <w:footnote w:id="18">
    <w:p w14:paraId="2B4E8A3A" w14:textId="77777777" w:rsidR="00000000" w:rsidRDefault="0093271B">
      <w:pPr>
        <w:pStyle w:val="FootnoteText"/>
      </w:pPr>
      <w:r>
        <w:rPr>
          <w:rStyle w:val="FootnoteReference"/>
        </w:rPr>
        <w:footnoteRef/>
      </w:r>
      <w:r>
        <w:t xml:space="preserve"> Income Tax (Amendment) (No. 2) Act, 2023, S.8. </w:t>
      </w:r>
      <w:r w:rsidR="00201201">
        <w:t xml:space="preserve"> A takaful business is an Islamic business arrangement equivalent to insurance.</w:t>
      </w:r>
    </w:p>
  </w:footnote>
  <w:footnote w:id="19">
    <w:p w14:paraId="7F198BCA" w14:textId="77777777" w:rsidR="00431024" w:rsidRDefault="00431024">
      <w:pPr>
        <w:pStyle w:val="p"/>
      </w:pPr>
      <w:r w:rsidRPr="0030192A">
        <w:rPr>
          <w:rStyle w:val="FootnoteReference"/>
        </w:rPr>
        <w:t xml:space="preserve"> </w:t>
      </w:r>
      <w:r>
        <w:rPr>
          <w:vertAlign w:val="superscript"/>
        </w:rPr>
        <w:t>18</w:t>
      </w:r>
      <w:r>
        <w:t xml:space="preserve"> </w:t>
      </w:r>
      <w:bookmarkStart w:id="1" w:name="_Hlk144903579"/>
      <w:r>
        <w:t>S.</w:t>
      </w:r>
      <w:bookmarkEnd w:id="1"/>
      <w:r>
        <w:t>17(1) ITA,</w:t>
      </w:r>
      <w:r w:rsidR="005414FC">
        <w:t xml:space="preserve"> Cap 340 of</w:t>
      </w:r>
      <w:r>
        <w:t xml:space="preserve"> </w:t>
      </w:r>
      <w:r w:rsidR="008642F9">
        <w:t>1997</w:t>
      </w:r>
      <w:r>
        <w:t>.</w:t>
      </w:r>
    </w:p>
    <w:p w14:paraId="1214B17B" w14:textId="77777777" w:rsidR="00000000" w:rsidRDefault="005C1232">
      <w:pPr>
        <w:pStyle w:val="p"/>
      </w:pPr>
    </w:p>
  </w:footnote>
  <w:footnote w:id="20">
    <w:p w14:paraId="3EE98124" w14:textId="77777777" w:rsidR="00000000" w:rsidRDefault="00A512E6">
      <w:pPr>
        <w:pStyle w:val="FootnoteText"/>
      </w:pPr>
      <w:r>
        <w:rPr>
          <w:rStyle w:val="FootnoteReference"/>
        </w:rPr>
        <w:footnoteRef/>
      </w:r>
      <w:r>
        <w:t xml:space="preserve"> S.2(bb)(B)</w:t>
      </w:r>
      <w:r w:rsidR="00B15AED">
        <w:t xml:space="preserve"> ITA</w:t>
      </w:r>
      <w:r>
        <w:t xml:space="preserve">, as amended by Income Tax (Amendment) Act, 2022. </w:t>
      </w:r>
    </w:p>
  </w:footnote>
  <w:footnote w:id="21">
    <w:p w14:paraId="1F0C2A88" w14:textId="77777777" w:rsidR="00431024" w:rsidRDefault="00431024">
      <w:pPr>
        <w:pStyle w:val="p"/>
      </w:pPr>
      <w:r w:rsidRPr="0030192A">
        <w:rPr>
          <w:rStyle w:val="FootnoteReference"/>
        </w:rPr>
        <w:t xml:space="preserve"> </w:t>
      </w:r>
      <w:r>
        <w:rPr>
          <w:vertAlign w:val="superscript"/>
        </w:rPr>
        <w:t>20</w:t>
      </w:r>
      <w:r>
        <w:t xml:space="preserve"> S.46(4) ITA, </w:t>
      </w:r>
      <w:r w:rsidR="005414FC">
        <w:t xml:space="preserve">Cap 340 of </w:t>
      </w:r>
      <w:r w:rsidR="008642F9">
        <w:t>1997</w:t>
      </w:r>
      <w:r>
        <w:t>.</w:t>
      </w:r>
    </w:p>
    <w:p w14:paraId="30C85ED3" w14:textId="77777777" w:rsidR="00000000" w:rsidRDefault="005C1232">
      <w:pPr>
        <w:pStyle w:val="p"/>
      </w:pPr>
    </w:p>
  </w:footnote>
  <w:footnote w:id="22">
    <w:p w14:paraId="11EAA011" w14:textId="77777777" w:rsidR="00431024" w:rsidRDefault="00431024">
      <w:pPr>
        <w:pStyle w:val="p"/>
      </w:pPr>
      <w:r w:rsidRPr="0030192A">
        <w:rPr>
          <w:rStyle w:val="FootnoteReference"/>
        </w:rPr>
        <w:t xml:space="preserve"> </w:t>
      </w:r>
      <w:r>
        <w:rPr>
          <w:vertAlign w:val="superscript"/>
        </w:rPr>
        <w:t>21</w:t>
      </w:r>
      <w:r>
        <w:t xml:space="preserve"> S.46(5) ITA, </w:t>
      </w:r>
      <w:r w:rsidR="005414FC">
        <w:t xml:space="preserve">Cap 340 of </w:t>
      </w:r>
      <w:r w:rsidR="008642F9">
        <w:t>1997</w:t>
      </w:r>
      <w:r>
        <w:t>.</w:t>
      </w:r>
    </w:p>
    <w:p w14:paraId="710B76BA" w14:textId="77777777" w:rsidR="00000000" w:rsidRDefault="005C1232">
      <w:pPr>
        <w:pStyle w:val="p"/>
      </w:pPr>
    </w:p>
  </w:footnote>
  <w:footnote w:id="23">
    <w:p w14:paraId="5FD6B381" w14:textId="77777777" w:rsidR="00431024" w:rsidRDefault="00431024">
      <w:pPr>
        <w:pStyle w:val="p"/>
      </w:pPr>
      <w:r w:rsidRPr="0030192A">
        <w:rPr>
          <w:rStyle w:val="FootnoteReference"/>
        </w:rPr>
        <w:t xml:space="preserve"> </w:t>
      </w:r>
      <w:r>
        <w:rPr>
          <w:vertAlign w:val="superscript"/>
        </w:rPr>
        <w:t>22</w:t>
      </w:r>
      <w:r>
        <w:t xml:space="preserve"> S.46(6) ITA, </w:t>
      </w:r>
      <w:r w:rsidR="005414FC">
        <w:t xml:space="preserve">Cap 340 of </w:t>
      </w:r>
      <w:r w:rsidR="008642F9">
        <w:t>1997</w:t>
      </w:r>
      <w:r>
        <w:t>.</w:t>
      </w:r>
    </w:p>
    <w:p w14:paraId="4AB15878" w14:textId="77777777" w:rsidR="00000000" w:rsidRDefault="005C1232">
      <w:pPr>
        <w:pStyle w:val="p"/>
      </w:pPr>
    </w:p>
  </w:footnote>
  <w:footnote w:id="24">
    <w:p w14:paraId="109BD00F" w14:textId="77777777" w:rsidR="00431024" w:rsidRDefault="00431024">
      <w:pPr>
        <w:pStyle w:val="p"/>
      </w:pPr>
      <w:r w:rsidRPr="0030192A">
        <w:rPr>
          <w:rStyle w:val="FootnoteReference"/>
        </w:rPr>
        <w:t xml:space="preserve"> </w:t>
      </w:r>
      <w:r>
        <w:rPr>
          <w:vertAlign w:val="superscript"/>
        </w:rPr>
        <w:t>23</w:t>
      </w:r>
      <w:r>
        <w:t xml:space="preserve"> Ss.27, 27A, 29, Sixth Schedule </w:t>
      </w:r>
      <w:r w:rsidR="00CC0547">
        <w:t>ITA, 1997</w:t>
      </w:r>
      <w:r w:rsidR="00B15AED">
        <w:t>,</w:t>
      </w:r>
      <w:r w:rsidR="00CC0547">
        <w:t xml:space="preserve"> </w:t>
      </w:r>
      <w:r>
        <w:t>as amended</w:t>
      </w:r>
      <w:r w:rsidR="003D431A">
        <w:t>.</w:t>
      </w:r>
    </w:p>
    <w:p w14:paraId="44898878" w14:textId="77777777" w:rsidR="00000000" w:rsidRDefault="005C1232">
      <w:pPr>
        <w:pStyle w:val="p"/>
      </w:pPr>
    </w:p>
  </w:footnote>
  <w:footnote w:id="25">
    <w:p w14:paraId="6B454632" w14:textId="77777777" w:rsidR="005B06CF" w:rsidRDefault="005B06CF" w:rsidP="005B06CF">
      <w:pPr>
        <w:pStyle w:val="p"/>
      </w:pPr>
      <w:r w:rsidRPr="0030192A">
        <w:rPr>
          <w:rStyle w:val="FootnoteReference"/>
        </w:rPr>
        <w:t xml:space="preserve"> </w:t>
      </w:r>
      <w:r>
        <w:rPr>
          <w:vertAlign w:val="superscript"/>
        </w:rPr>
        <w:t>29</w:t>
      </w:r>
      <w:r>
        <w:t xml:space="preserve"> S.22(1) ITA, as amended by Income Tax (Amendment) Act, 2022.</w:t>
      </w:r>
    </w:p>
    <w:p w14:paraId="5BA2EDDD" w14:textId="77777777" w:rsidR="00000000" w:rsidRDefault="005C1232" w:rsidP="005B06CF">
      <w:pPr>
        <w:pStyle w:val="p"/>
      </w:pPr>
    </w:p>
  </w:footnote>
  <w:footnote w:id="26">
    <w:p w14:paraId="148C2150" w14:textId="77777777" w:rsidR="005B06CF" w:rsidRDefault="005B06CF" w:rsidP="005B06CF">
      <w:pPr>
        <w:pStyle w:val="p"/>
      </w:pPr>
      <w:r w:rsidRPr="0030192A">
        <w:rPr>
          <w:rStyle w:val="FootnoteReference"/>
        </w:rPr>
        <w:t xml:space="preserve"> </w:t>
      </w:r>
      <w:r>
        <w:rPr>
          <w:vertAlign w:val="superscript"/>
        </w:rPr>
        <w:t>30</w:t>
      </w:r>
      <w:r>
        <w:t xml:space="preserve"> Ss.22(1) (e),</w:t>
      </w:r>
      <w:r w:rsidR="006C16C4">
        <w:t xml:space="preserve"> </w:t>
      </w:r>
      <w:r>
        <w:t>30 ITA, Cap 340 of 1997.</w:t>
      </w:r>
    </w:p>
    <w:p w14:paraId="5EE6AE5C" w14:textId="77777777" w:rsidR="00000000" w:rsidRDefault="005C1232" w:rsidP="005B06CF">
      <w:pPr>
        <w:pStyle w:val="p"/>
      </w:pPr>
    </w:p>
  </w:footnote>
  <w:footnote w:id="27">
    <w:p w14:paraId="52BBF762" w14:textId="77777777" w:rsidR="00431024" w:rsidRDefault="00431024">
      <w:pPr>
        <w:pStyle w:val="p"/>
      </w:pPr>
      <w:r w:rsidRPr="0030192A">
        <w:rPr>
          <w:rStyle w:val="FootnoteReference"/>
        </w:rPr>
        <w:t xml:space="preserve"> </w:t>
      </w:r>
      <w:r>
        <w:rPr>
          <w:vertAlign w:val="superscript"/>
        </w:rPr>
        <w:t>25</w:t>
      </w:r>
      <w:r>
        <w:t xml:space="preserve"> S.11</w:t>
      </w:r>
      <w:r w:rsidR="00CC0547">
        <w:t>8,</w:t>
      </w:r>
      <w:r>
        <w:t xml:space="preserve"> Part V</w:t>
      </w:r>
      <w:r w:rsidR="00CC0547">
        <w:t xml:space="preserve">, Third Schedule, ITA, </w:t>
      </w:r>
      <w:r w:rsidR="005414FC">
        <w:t xml:space="preserve">Cap 340 of </w:t>
      </w:r>
      <w:r w:rsidR="00CC0547">
        <w:t>1997</w:t>
      </w:r>
      <w:r w:rsidR="00B15AED">
        <w:t>.</w:t>
      </w:r>
    </w:p>
    <w:p w14:paraId="100E3D07" w14:textId="77777777" w:rsidR="00000000" w:rsidRDefault="005C1232">
      <w:pPr>
        <w:pStyle w:val="p"/>
      </w:pPr>
    </w:p>
  </w:footnote>
  <w:footnote w:id="28">
    <w:p w14:paraId="0D47E188" w14:textId="77777777" w:rsidR="006C16C4" w:rsidRDefault="00431024" w:rsidP="006C16C4">
      <w:pPr>
        <w:pStyle w:val="p"/>
      </w:pPr>
      <w:r w:rsidRPr="0030192A">
        <w:rPr>
          <w:rStyle w:val="FootnoteReference"/>
        </w:rPr>
        <w:t xml:space="preserve"> </w:t>
      </w:r>
      <w:r>
        <w:rPr>
          <w:vertAlign w:val="superscript"/>
        </w:rPr>
        <w:t>26</w:t>
      </w:r>
      <w:r>
        <w:t xml:space="preserve"> S.21(</w:t>
      </w:r>
      <w:r w:rsidR="00153388">
        <w:t>1) (</w:t>
      </w:r>
      <w:r>
        <w:t>ae) IT</w:t>
      </w:r>
      <w:r w:rsidR="00A91B34">
        <w:t>A</w:t>
      </w:r>
      <w:r w:rsidR="006C16C4">
        <w:t>, Cap 340 of 1997.</w:t>
      </w:r>
    </w:p>
    <w:p w14:paraId="19A3C36C" w14:textId="77777777" w:rsidR="00431024" w:rsidRDefault="00431024">
      <w:pPr>
        <w:pStyle w:val="p"/>
      </w:pPr>
    </w:p>
    <w:p w14:paraId="3A8CD5BC" w14:textId="77777777" w:rsidR="00000000" w:rsidRDefault="005C1232">
      <w:pPr>
        <w:pStyle w:val="p"/>
      </w:pPr>
    </w:p>
  </w:footnote>
  <w:footnote w:id="29">
    <w:p w14:paraId="47F05C6C" w14:textId="77777777" w:rsidR="006C16C4" w:rsidRDefault="00431024" w:rsidP="006C16C4">
      <w:pPr>
        <w:pStyle w:val="p"/>
      </w:pPr>
      <w:r w:rsidRPr="0030192A">
        <w:rPr>
          <w:rStyle w:val="FootnoteReference"/>
        </w:rPr>
        <w:t xml:space="preserve"> </w:t>
      </w:r>
      <w:r>
        <w:rPr>
          <w:vertAlign w:val="superscript"/>
        </w:rPr>
        <w:t>27</w:t>
      </w:r>
      <w:r>
        <w:t xml:space="preserve"> S.21(</w:t>
      </w:r>
      <w:r w:rsidR="00153388">
        <w:t>1) (</w:t>
      </w:r>
      <w:r>
        <w:t>af) IT</w:t>
      </w:r>
      <w:r w:rsidR="00A91B34">
        <w:t>A</w:t>
      </w:r>
      <w:r w:rsidR="006C16C4">
        <w:t>, Cap 340 of 1997.</w:t>
      </w:r>
    </w:p>
    <w:p w14:paraId="6B166DE1" w14:textId="77777777" w:rsidR="00431024" w:rsidRDefault="00431024">
      <w:pPr>
        <w:pStyle w:val="p"/>
      </w:pPr>
    </w:p>
    <w:p w14:paraId="568237FD" w14:textId="77777777" w:rsidR="00000000" w:rsidRDefault="005C1232">
      <w:pPr>
        <w:pStyle w:val="p"/>
      </w:pPr>
    </w:p>
  </w:footnote>
  <w:footnote w:id="30">
    <w:p w14:paraId="5CAACA70" w14:textId="77777777" w:rsidR="00431024" w:rsidRDefault="00431024">
      <w:pPr>
        <w:pStyle w:val="p"/>
      </w:pPr>
      <w:r w:rsidRPr="0030192A">
        <w:rPr>
          <w:rStyle w:val="FootnoteReference"/>
        </w:rPr>
        <w:t xml:space="preserve"> </w:t>
      </w:r>
      <w:r>
        <w:rPr>
          <w:vertAlign w:val="superscript"/>
        </w:rPr>
        <w:t>28</w:t>
      </w:r>
      <w:r>
        <w:t xml:space="preserve"> S.32 ITA, </w:t>
      </w:r>
      <w:r w:rsidR="005414FC">
        <w:t xml:space="preserve">Cap 340 of </w:t>
      </w:r>
      <w:r w:rsidR="00153388">
        <w:t>1997</w:t>
      </w:r>
      <w:r>
        <w:t>.</w:t>
      </w:r>
    </w:p>
    <w:p w14:paraId="1F250940" w14:textId="77777777" w:rsidR="00000000" w:rsidRDefault="005C1232">
      <w:pPr>
        <w:pStyle w:val="p"/>
      </w:pPr>
    </w:p>
  </w:footnote>
  <w:footnote w:id="31">
    <w:p w14:paraId="6AE09891" w14:textId="77777777" w:rsidR="00431024" w:rsidRDefault="00431024">
      <w:pPr>
        <w:pStyle w:val="p"/>
      </w:pPr>
      <w:r w:rsidRPr="0030192A">
        <w:rPr>
          <w:rStyle w:val="FootnoteReference"/>
        </w:rPr>
        <w:t xml:space="preserve"> </w:t>
      </w:r>
      <w:r>
        <w:rPr>
          <w:vertAlign w:val="superscript"/>
        </w:rPr>
        <w:t>31</w:t>
      </w:r>
      <w:r>
        <w:t xml:space="preserve"> S.81 ITA, </w:t>
      </w:r>
      <w:r w:rsidR="005414FC">
        <w:t xml:space="preserve">Cap 340 of </w:t>
      </w:r>
      <w:r w:rsidR="00153388">
        <w:t>1997</w:t>
      </w:r>
      <w:r>
        <w:t>.</w:t>
      </w:r>
    </w:p>
    <w:p w14:paraId="4549D4FB" w14:textId="77777777" w:rsidR="00000000" w:rsidRDefault="005C1232">
      <w:pPr>
        <w:pStyle w:val="p"/>
      </w:pPr>
    </w:p>
  </w:footnote>
  <w:footnote w:id="32">
    <w:p w14:paraId="3C7C8703" w14:textId="77777777" w:rsidR="00431024" w:rsidRDefault="00431024">
      <w:pPr>
        <w:pStyle w:val="p"/>
      </w:pPr>
      <w:r w:rsidRPr="0030192A">
        <w:rPr>
          <w:rStyle w:val="FootnoteReference"/>
        </w:rPr>
        <w:t xml:space="preserve"> </w:t>
      </w:r>
      <w:r>
        <w:rPr>
          <w:vertAlign w:val="superscript"/>
        </w:rPr>
        <w:t>32</w:t>
      </w:r>
      <w:r>
        <w:t xml:space="preserve"> S.88(1) ITA, </w:t>
      </w:r>
      <w:r w:rsidR="005414FC">
        <w:t xml:space="preserve">Cap 340 of </w:t>
      </w:r>
      <w:r w:rsidR="00153388">
        <w:t>1997</w:t>
      </w:r>
      <w:r>
        <w:t>.</w:t>
      </w:r>
    </w:p>
    <w:p w14:paraId="1054522A" w14:textId="77777777" w:rsidR="00000000" w:rsidRDefault="005C1232">
      <w:pPr>
        <w:pStyle w:val="p"/>
      </w:pPr>
    </w:p>
  </w:footnote>
  <w:footnote w:id="33">
    <w:p w14:paraId="0DE0C118" w14:textId="77777777" w:rsidR="00431024" w:rsidRDefault="00431024">
      <w:pPr>
        <w:pStyle w:val="p"/>
      </w:pPr>
      <w:r w:rsidRPr="0030192A">
        <w:rPr>
          <w:rStyle w:val="FootnoteReference"/>
        </w:rPr>
        <w:t xml:space="preserve"> </w:t>
      </w:r>
      <w:r>
        <w:rPr>
          <w:vertAlign w:val="superscript"/>
        </w:rPr>
        <w:t>33</w:t>
      </w:r>
      <w:r>
        <w:t xml:space="preserve"> S.88(5) IT</w:t>
      </w:r>
      <w:r w:rsidR="00EF34C4">
        <w:t>A</w:t>
      </w:r>
      <w:r w:rsidR="00C80B51">
        <w:t>, Cap 340 of 1997.</w:t>
      </w:r>
    </w:p>
    <w:p w14:paraId="025C732A" w14:textId="77777777" w:rsidR="00000000" w:rsidRDefault="005C1232">
      <w:pPr>
        <w:pStyle w:val="p"/>
      </w:pPr>
    </w:p>
  </w:footnote>
  <w:footnote w:id="34">
    <w:p w14:paraId="2FBAC3A3" w14:textId="77777777" w:rsidR="00431024" w:rsidRDefault="00431024">
      <w:pPr>
        <w:pStyle w:val="p"/>
      </w:pPr>
      <w:r w:rsidRPr="0030192A">
        <w:rPr>
          <w:rStyle w:val="FootnoteReference"/>
        </w:rPr>
        <w:t xml:space="preserve"> </w:t>
      </w:r>
      <w:r>
        <w:rPr>
          <w:vertAlign w:val="superscript"/>
        </w:rPr>
        <w:t>34</w:t>
      </w:r>
      <w:r>
        <w:t xml:space="preserve"> S.88(2) IT</w:t>
      </w:r>
      <w:r w:rsidR="00EF34C4">
        <w:t>A</w:t>
      </w:r>
      <w:r w:rsidR="00C80B51">
        <w:t>, Cap 340 of 1997.</w:t>
      </w:r>
      <w:r w:rsidR="00AE4852">
        <w:t xml:space="preserve">  The act excepts from its general deference to the treaty certain provisions dealing with a requirement for beneficial ownership and dominion and control over the payment, provisions dealing with tax avoidance transactions, and legislation specially addressing matters affecting income covered by the treaty.</w:t>
      </w:r>
    </w:p>
    <w:p w14:paraId="2AF01298" w14:textId="77777777" w:rsidR="00000000" w:rsidRDefault="005C1232">
      <w:pPr>
        <w:pStyle w:val="p"/>
      </w:pPr>
    </w:p>
  </w:footnote>
  <w:footnote w:id="35">
    <w:p w14:paraId="57061B8C" w14:textId="77777777" w:rsidR="00431024" w:rsidRDefault="00431024">
      <w:pPr>
        <w:pStyle w:val="p"/>
      </w:pPr>
      <w:r w:rsidRPr="0030192A">
        <w:rPr>
          <w:rStyle w:val="FootnoteReference"/>
        </w:rPr>
        <w:t xml:space="preserve"> </w:t>
      </w:r>
      <w:r>
        <w:rPr>
          <w:vertAlign w:val="superscript"/>
        </w:rPr>
        <w:t>35</w:t>
      </w:r>
      <w:r>
        <w:t xml:space="preserve"> S.92A IT</w:t>
      </w:r>
      <w:r w:rsidR="00EF34C4">
        <w:t>A</w:t>
      </w:r>
      <w:r>
        <w:t>; S.16 TPCA</w:t>
      </w:r>
      <w:r w:rsidR="00153388">
        <w:t>, 2014</w:t>
      </w:r>
      <w:r>
        <w:t>.</w:t>
      </w:r>
    </w:p>
    <w:p w14:paraId="205BAAE5" w14:textId="77777777" w:rsidR="00000000" w:rsidRDefault="005C1232">
      <w:pPr>
        <w:pStyle w:val="p"/>
      </w:pPr>
    </w:p>
  </w:footnote>
  <w:footnote w:id="36">
    <w:p w14:paraId="77B7CF48" w14:textId="77777777" w:rsidR="00431024" w:rsidRDefault="00431024">
      <w:pPr>
        <w:pStyle w:val="p"/>
      </w:pPr>
      <w:r w:rsidRPr="0030192A">
        <w:rPr>
          <w:rStyle w:val="FootnoteReference"/>
        </w:rPr>
        <w:t xml:space="preserve"> </w:t>
      </w:r>
      <w:r>
        <w:rPr>
          <w:vertAlign w:val="superscript"/>
        </w:rPr>
        <w:t>36</w:t>
      </w:r>
      <w:r>
        <w:t xml:space="preserve"> S.130(5) IT</w:t>
      </w:r>
      <w:r w:rsidR="00EF34C4">
        <w:t>A</w:t>
      </w:r>
      <w:r w:rsidR="00C80B51">
        <w:t>, Cap 340 of 1997.</w:t>
      </w:r>
    </w:p>
    <w:p w14:paraId="6197F0EB" w14:textId="77777777" w:rsidR="00000000" w:rsidRDefault="005C1232">
      <w:pPr>
        <w:pStyle w:val="p"/>
      </w:pPr>
    </w:p>
  </w:footnote>
  <w:footnote w:id="37">
    <w:p w14:paraId="1D0259A4" w14:textId="77777777" w:rsidR="00431024" w:rsidRDefault="00431024">
      <w:pPr>
        <w:pStyle w:val="p"/>
      </w:pPr>
      <w:r w:rsidRPr="0030192A">
        <w:rPr>
          <w:rStyle w:val="FootnoteReference"/>
        </w:rPr>
        <w:t xml:space="preserve"> </w:t>
      </w:r>
      <w:r>
        <w:rPr>
          <w:vertAlign w:val="superscript"/>
        </w:rPr>
        <w:t>37</w:t>
      </w:r>
      <w:r>
        <w:t xml:space="preserve"> S.19</w:t>
      </w:r>
      <w:r w:rsidR="00153388">
        <w:t xml:space="preserve"> </w:t>
      </w:r>
      <w:r>
        <w:t>TPCA</w:t>
      </w:r>
      <w:r w:rsidR="00153388">
        <w:t>, 2014</w:t>
      </w:r>
      <w:r>
        <w:t>.</w:t>
      </w:r>
    </w:p>
    <w:p w14:paraId="7E359C20" w14:textId="77777777" w:rsidR="00000000" w:rsidRDefault="005C1232">
      <w:pPr>
        <w:pStyle w:val="p"/>
      </w:pPr>
    </w:p>
  </w:footnote>
  <w:footnote w:id="38">
    <w:p w14:paraId="69B376A0" w14:textId="77777777" w:rsidR="00431024" w:rsidRDefault="00431024">
      <w:pPr>
        <w:pStyle w:val="p"/>
      </w:pPr>
      <w:r w:rsidRPr="0030192A">
        <w:rPr>
          <w:rStyle w:val="FootnoteReference"/>
        </w:rPr>
        <w:t xml:space="preserve"> </w:t>
      </w:r>
      <w:r>
        <w:rPr>
          <w:vertAlign w:val="superscript"/>
        </w:rPr>
        <w:t>38</w:t>
      </w:r>
      <w:r>
        <w:t xml:space="preserve"> S.48</w:t>
      </w:r>
      <w:r w:rsidR="00153388">
        <w:t xml:space="preserve"> </w:t>
      </w:r>
      <w:r>
        <w:t>TPCA</w:t>
      </w:r>
      <w:r w:rsidR="00153388">
        <w:t>, 2014</w:t>
      </w:r>
      <w:r>
        <w:t>.</w:t>
      </w:r>
    </w:p>
    <w:p w14:paraId="24DAD3D5" w14:textId="77777777" w:rsidR="00000000" w:rsidRDefault="005C1232">
      <w:pPr>
        <w:pStyle w:val="p"/>
      </w:pPr>
    </w:p>
  </w:footnote>
  <w:footnote w:id="39">
    <w:p w14:paraId="79FD67F2" w14:textId="77777777" w:rsidR="00431024" w:rsidRDefault="00431024">
      <w:pPr>
        <w:pStyle w:val="p"/>
      </w:pPr>
      <w:r w:rsidRPr="0030192A">
        <w:rPr>
          <w:rStyle w:val="FootnoteReference"/>
        </w:rPr>
        <w:t xml:space="preserve"> </w:t>
      </w:r>
      <w:r>
        <w:rPr>
          <w:vertAlign w:val="superscript"/>
        </w:rPr>
        <w:t>39</w:t>
      </w:r>
      <w:r>
        <w:t xml:space="preserve"> S. 54 TPC</w:t>
      </w:r>
      <w:r w:rsidR="00EF34C4">
        <w:t>A</w:t>
      </w:r>
      <w:r w:rsidR="00B15AED">
        <w:t>, 2014</w:t>
      </w:r>
      <w:r w:rsidR="00EF34C4">
        <w:t>.</w:t>
      </w:r>
      <w:r w:rsidR="00135707">
        <w:t xml:space="preserve"> </w:t>
      </w:r>
    </w:p>
    <w:p w14:paraId="09899964" w14:textId="77777777" w:rsidR="00000000" w:rsidRDefault="005C1232">
      <w:pPr>
        <w:pStyle w:val="p"/>
      </w:pPr>
    </w:p>
  </w:footnote>
  <w:footnote w:id="40">
    <w:p w14:paraId="7ECE4925" w14:textId="77777777" w:rsidR="00431024" w:rsidRDefault="00431024">
      <w:pPr>
        <w:pStyle w:val="p"/>
      </w:pPr>
      <w:r w:rsidRPr="0030192A">
        <w:rPr>
          <w:rStyle w:val="FootnoteReference"/>
        </w:rPr>
        <w:t xml:space="preserve"> </w:t>
      </w:r>
      <w:r>
        <w:rPr>
          <w:vertAlign w:val="superscript"/>
        </w:rPr>
        <w:t>46</w:t>
      </w:r>
      <w:r>
        <w:t xml:space="preserve"> S.118</w:t>
      </w:r>
      <w:r w:rsidR="008803FA">
        <w:t xml:space="preserve">, </w:t>
      </w:r>
      <w:r>
        <w:t>Part V</w:t>
      </w:r>
      <w:r w:rsidR="008803FA">
        <w:t xml:space="preserve">, Third Schedule, ITA, </w:t>
      </w:r>
      <w:r w:rsidR="005414FC">
        <w:t xml:space="preserve">Cap 340 of </w:t>
      </w:r>
      <w:r w:rsidR="008803FA">
        <w:t>1997.</w:t>
      </w:r>
    </w:p>
    <w:p w14:paraId="4AD91D02" w14:textId="77777777" w:rsidR="00000000" w:rsidRDefault="005C1232">
      <w:pPr>
        <w:pStyle w:val="p"/>
      </w:pPr>
    </w:p>
  </w:footnote>
  <w:footnote w:id="41">
    <w:p w14:paraId="063AA647" w14:textId="77777777" w:rsidR="00431024" w:rsidRDefault="00431024">
      <w:pPr>
        <w:pStyle w:val="p"/>
      </w:pPr>
      <w:r w:rsidRPr="0030192A">
        <w:rPr>
          <w:rStyle w:val="FootnoteReference"/>
        </w:rPr>
        <w:t xml:space="preserve"> </w:t>
      </w:r>
      <w:r>
        <w:rPr>
          <w:vertAlign w:val="superscript"/>
        </w:rPr>
        <w:t>47</w:t>
      </w:r>
      <w:r>
        <w:t xml:space="preserve"> S.74(1) ITA, </w:t>
      </w:r>
      <w:r w:rsidR="005414FC">
        <w:t xml:space="preserve">Cap 340 of </w:t>
      </w:r>
      <w:r w:rsidR="008803FA">
        <w:t>1997</w:t>
      </w:r>
      <w:r>
        <w:t>.</w:t>
      </w:r>
    </w:p>
    <w:p w14:paraId="1309AF63" w14:textId="77777777" w:rsidR="00000000" w:rsidRDefault="005C1232">
      <w:pPr>
        <w:pStyle w:val="p"/>
      </w:pPr>
    </w:p>
  </w:footnote>
  <w:footnote w:id="42">
    <w:p w14:paraId="759A2847" w14:textId="77777777" w:rsidR="00431024" w:rsidRDefault="00431024">
      <w:pPr>
        <w:pStyle w:val="p"/>
      </w:pPr>
      <w:r w:rsidRPr="0030192A">
        <w:rPr>
          <w:rStyle w:val="FootnoteReference"/>
        </w:rPr>
        <w:t xml:space="preserve"> </w:t>
      </w:r>
      <w:r>
        <w:rPr>
          <w:vertAlign w:val="superscript"/>
        </w:rPr>
        <w:t>48</w:t>
      </w:r>
      <w:r>
        <w:t xml:space="preserve"> S.117(1)</w:t>
      </w:r>
      <w:r w:rsidR="008803FA">
        <w:t xml:space="preserve">, </w:t>
      </w:r>
      <w:r>
        <w:t>Part V</w:t>
      </w:r>
      <w:r w:rsidR="008803FA">
        <w:t>, Third Schedule</w:t>
      </w:r>
      <w:r w:rsidR="00C80B51">
        <w:t xml:space="preserve"> I</w:t>
      </w:r>
      <w:r w:rsidR="008803FA">
        <w:t>TA,</w:t>
      </w:r>
      <w:r w:rsidR="00C80B51" w:rsidRPr="00C80B51">
        <w:t xml:space="preserve"> </w:t>
      </w:r>
      <w:r w:rsidR="00C80B51">
        <w:t>Cap 340 of 1997.</w:t>
      </w:r>
    </w:p>
    <w:p w14:paraId="3608184A" w14:textId="77777777" w:rsidR="00000000" w:rsidRDefault="005C1232">
      <w:pPr>
        <w:pStyle w:val="p"/>
      </w:pPr>
    </w:p>
  </w:footnote>
  <w:footnote w:id="43">
    <w:p w14:paraId="6F98A952" w14:textId="77777777" w:rsidR="00431024" w:rsidRDefault="00431024">
      <w:pPr>
        <w:pStyle w:val="p"/>
      </w:pPr>
      <w:r w:rsidRPr="0030192A">
        <w:rPr>
          <w:rStyle w:val="FootnoteReference"/>
        </w:rPr>
        <w:t xml:space="preserve"> </w:t>
      </w:r>
      <w:r>
        <w:rPr>
          <w:vertAlign w:val="superscript"/>
        </w:rPr>
        <w:t>49</w:t>
      </w:r>
      <w:r>
        <w:t xml:space="preserve"> Ss.117, 122</w:t>
      </w:r>
      <w:r w:rsidR="008803FA">
        <w:t xml:space="preserve">, </w:t>
      </w:r>
      <w:r>
        <w:t>Part V</w:t>
      </w:r>
      <w:r w:rsidR="008803FA">
        <w:t>, Third Schedule ITA, 1997.</w:t>
      </w:r>
    </w:p>
    <w:p w14:paraId="4EA491D8" w14:textId="77777777" w:rsidR="00000000" w:rsidRDefault="005C1232">
      <w:pPr>
        <w:pStyle w:val="p"/>
      </w:pPr>
    </w:p>
  </w:footnote>
  <w:footnote w:id="44">
    <w:p w14:paraId="1A7BEA68" w14:textId="77777777" w:rsidR="00431024" w:rsidRDefault="00431024">
      <w:pPr>
        <w:pStyle w:val="p"/>
      </w:pPr>
      <w:r w:rsidRPr="0030192A">
        <w:rPr>
          <w:rStyle w:val="FootnoteReference"/>
        </w:rPr>
        <w:t xml:space="preserve"> </w:t>
      </w:r>
      <w:r>
        <w:rPr>
          <w:vertAlign w:val="superscript"/>
        </w:rPr>
        <w:t>50</w:t>
      </w:r>
      <w:r>
        <w:t xml:space="preserve"> S.118A</w:t>
      </w:r>
      <w:r w:rsidR="00FC2D61">
        <w:t xml:space="preserve"> Part VIII</w:t>
      </w:r>
      <w:r>
        <w:t xml:space="preserve">, Third Schedule </w:t>
      </w:r>
      <w:r w:rsidR="00FC2D61">
        <w:t>ITA, 1997</w:t>
      </w:r>
      <w:r>
        <w:t>.</w:t>
      </w:r>
    </w:p>
    <w:p w14:paraId="1EDC5094" w14:textId="77777777" w:rsidR="00000000" w:rsidRDefault="005C1232">
      <w:pPr>
        <w:pStyle w:val="p"/>
      </w:pPr>
    </w:p>
  </w:footnote>
  <w:footnote w:id="45">
    <w:p w14:paraId="050C0B78" w14:textId="77777777" w:rsidR="00000000" w:rsidRDefault="00066DE0">
      <w:pPr>
        <w:pStyle w:val="FootnoteText"/>
      </w:pPr>
      <w:r>
        <w:rPr>
          <w:rStyle w:val="FootnoteReference"/>
        </w:rPr>
        <w:footnoteRef/>
      </w:r>
      <w:r>
        <w:t xml:space="preserve"> Income Tax (Amendment) (No.2) Act, 2023, S</w:t>
      </w:r>
      <w:r w:rsidR="00561A58">
        <w:t xml:space="preserve">.10. </w:t>
      </w:r>
    </w:p>
  </w:footnote>
  <w:footnote w:id="46">
    <w:p w14:paraId="3A20BBEF" w14:textId="77777777" w:rsidR="00431024" w:rsidRDefault="00431024">
      <w:pPr>
        <w:pStyle w:val="p"/>
      </w:pPr>
      <w:r w:rsidRPr="0030192A">
        <w:rPr>
          <w:rStyle w:val="FootnoteReference"/>
        </w:rPr>
        <w:t xml:space="preserve"> </w:t>
      </w:r>
      <w:r>
        <w:rPr>
          <w:vertAlign w:val="superscript"/>
        </w:rPr>
        <w:t>51</w:t>
      </w:r>
      <w:r>
        <w:t xml:space="preserve"> S.119</w:t>
      </w:r>
      <w:r w:rsidR="00FC2D61">
        <w:t xml:space="preserve"> Part VIII, Third Schedule</w:t>
      </w:r>
      <w:r w:rsidR="00B15AED">
        <w:t xml:space="preserve"> </w:t>
      </w:r>
      <w:r w:rsidR="00FC2D61">
        <w:t>ITA, 1997</w:t>
      </w:r>
      <w:r>
        <w:t>.</w:t>
      </w:r>
    </w:p>
    <w:p w14:paraId="14D6824A" w14:textId="77777777" w:rsidR="00000000" w:rsidRDefault="005C1232">
      <w:pPr>
        <w:pStyle w:val="p"/>
      </w:pPr>
    </w:p>
  </w:footnote>
  <w:footnote w:id="47">
    <w:p w14:paraId="045108C9" w14:textId="77777777" w:rsidR="00431024" w:rsidRDefault="00431024">
      <w:pPr>
        <w:pStyle w:val="p"/>
      </w:pPr>
      <w:r w:rsidRPr="0030192A">
        <w:rPr>
          <w:rStyle w:val="FootnoteReference"/>
        </w:rPr>
        <w:t xml:space="preserve"> </w:t>
      </w:r>
      <w:r>
        <w:rPr>
          <w:vertAlign w:val="superscript"/>
        </w:rPr>
        <w:t>52</w:t>
      </w:r>
      <w:r>
        <w:t xml:space="preserve"> S.118B (2)</w:t>
      </w:r>
      <w:r w:rsidR="00D6282E">
        <w:t>, Part VIII</w:t>
      </w:r>
      <w:r>
        <w:t xml:space="preserve"> Third Schedul</w:t>
      </w:r>
      <w:r w:rsidR="00B15AED">
        <w:t xml:space="preserve">e </w:t>
      </w:r>
      <w:r w:rsidR="00D6282E">
        <w:t>ITA, 1997</w:t>
      </w:r>
      <w:r>
        <w:t>.</w:t>
      </w:r>
    </w:p>
    <w:p w14:paraId="33CAA777" w14:textId="77777777" w:rsidR="00000000" w:rsidRDefault="005C1232">
      <w:pPr>
        <w:pStyle w:val="p"/>
      </w:pPr>
    </w:p>
  </w:footnote>
  <w:footnote w:id="48">
    <w:p w14:paraId="00874CA9" w14:textId="77777777" w:rsidR="00431024" w:rsidRDefault="00431024">
      <w:pPr>
        <w:pStyle w:val="p"/>
      </w:pPr>
      <w:r w:rsidRPr="0030192A">
        <w:rPr>
          <w:rStyle w:val="FootnoteReference"/>
        </w:rPr>
        <w:t xml:space="preserve"> </w:t>
      </w:r>
      <w:r>
        <w:rPr>
          <w:vertAlign w:val="superscript"/>
        </w:rPr>
        <w:t>53</w:t>
      </w:r>
      <w:r>
        <w:t xml:space="preserve"> Ss.118G</w:t>
      </w:r>
      <w:r w:rsidR="0091316D">
        <w:t xml:space="preserve"> and </w:t>
      </w:r>
      <w:r>
        <w:t>118H</w:t>
      </w:r>
      <w:r w:rsidR="00D6282E">
        <w:t xml:space="preserve">, Part </w:t>
      </w:r>
      <w:r w:rsidR="00813321">
        <w:t>X</w:t>
      </w:r>
      <w:r w:rsidR="00D6282E">
        <w:t xml:space="preserve">III, </w:t>
      </w:r>
      <w:r>
        <w:t xml:space="preserve">Third Schedule </w:t>
      </w:r>
      <w:r w:rsidR="00D6282E">
        <w:t>ITA, 1997</w:t>
      </w:r>
      <w:r>
        <w:t>.</w:t>
      </w:r>
    </w:p>
    <w:p w14:paraId="6194AD5C" w14:textId="77777777" w:rsidR="00000000" w:rsidRDefault="005C1232">
      <w:pPr>
        <w:pStyle w:val="p"/>
      </w:pPr>
    </w:p>
  </w:footnote>
  <w:footnote w:id="49">
    <w:p w14:paraId="1FCB8495" w14:textId="77777777" w:rsidR="00431024" w:rsidRDefault="00431024">
      <w:pPr>
        <w:pStyle w:val="p"/>
      </w:pPr>
      <w:r w:rsidRPr="0030192A">
        <w:rPr>
          <w:rStyle w:val="FootnoteReference"/>
        </w:rPr>
        <w:t xml:space="preserve"> </w:t>
      </w:r>
      <w:r>
        <w:rPr>
          <w:vertAlign w:val="superscript"/>
        </w:rPr>
        <w:t>54</w:t>
      </w:r>
      <w:r>
        <w:t xml:space="preserve"> S.111(2) ITA, </w:t>
      </w:r>
      <w:r w:rsidR="005414FC">
        <w:t xml:space="preserve">Cap 340 of </w:t>
      </w:r>
      <w:r w:rsidR="0091316D">
        <w:t>1997</w:t>
      </w:r>
      <w:r>
        <w:t>.</w:t>
      </w:r>
    </w:p>
    <w:p w14:paraId="5DAA051E" w14:textId="77777777" w:rsidR="00000000" w:rsidRDefault="005C1232">
      <w:pPr>
        <w:pStyle w:val="p"/>
      </w:pPr>
    </w:p>
  </w:footnote>
  <w:footnote w:id="50">
    <w:p w14:paraId="5E934A8E" w14:textId="77777777" w:rsidR="00431024" w:rsidRDefault="00431024">
      <w:pPr>
        <w:pStyle w:val="p"/>
      </w:pPr>
      <w:r w:rsidRPr="0030192A">
        <w:rPr>
          <w:rStyle w:val="FootnoteReference"/>
        </w:rPr>
        <w:t xml:space="preserve"> </w:t>
      </w:r>
      <w:r>
        <w:rPr>
          <w:vertAlign w:val="superscript"/>
        </w:rPr>
        <w:t>55</w:t>
      </w:r>
      <w:r>
        <w:t xml:space="preserve"> S.93A ITA, </w:t>
      </w:r>
      <w:r w:rsidR="005414FC">
        <w:t xml:space="preserve">Cap 340 of </w:t>
      </w:r>
      <w:r w:rsidR="0091316D">
        <w:t>1997</w:t>
      </w:r>
      <w:r>
        <w:t>.</w:t>
      </w:r>
    </w:p>
    <w:p w14:paraId="53A010B0" w14:textId="77777777" w:rsidR="00000000" w:rsidRDefault="005C1232">
      <w:pPr>
        <w:pStyle w:val="p"/>
      </w:pPr>
    </w:p>
  </w:footnote>
  <w:footnote w:id="51">
    <w:p w14:paraId="3EAD0761" w14:textId="77777777" w:rsidR="00431024" w:rsidRDefault="00431024">
      <w:pPr>
        <w:pStyle w:val="p"/>
      </w:pPr>
      <w:r w:rsidRPr="0030192A">
        <w:rPr>
          <w:rStyle w:val="FootnoteReference"/>
        </w:rPr>
        <w:t xml:space="preserve"> </w:t>
      </w:r>
      <w:r>
        <w:rPr>
          <w:vertAlign w:val="superscript"/>
        </w:rPr>
        <w:t>56</w:t>
      </w:r>
      <w:r>
        <w:t xml:space="preserve"> S.136 ITA, </w:t>
      </w:r>
      <w:r w:rsidR="005414FC">
        <w:t xml:space="preserve">Cap 340 of </w:t>
      </w:r>
      <w:r w:rsidR="0091316D">
        <w:t>1997</w:t>
      </w:r>
      <w:r>
        <w:t>.</w:t>
      </w:r>
    </w:p>
    <w:p w14:paraId="0F00ED1B" w14:textId="77777777" w:rsidR="00000000" w:rsidRDefault="005C1232">
      <w:pPr>
        <w:pStyle w:val="p"/>
      </w:pPr>
    </w:p>
  </w:footnote>
  <w:footnote w:id="52">
    <w:p w14:paraId="3194E89F" w14:textId="77777777" w:rsidR="00D45913" w:rsidRDefault="00D45913" w:rsidP="00D45913">
      <w:pPr>
        <w:pStyle w:val="p"/>
      </w:pPr>
      <w:r w:rsidRPr="0030192A">
        <w:rPr>
          <w:rStyle w:val="FootnoteReference"/>
        </w:rPr>
        <w:t xml:space="preserve"> </w:t>
      </w:r>
      <w:r>
        <w:rPr>
          <w:vertAlign w:val="superscript"/>
        </w:rPr>
        <w:t>40</w:t>
      </w:r>
      <w:r>
        <w:t xml:space="preserve"> S.49 TPCA, 2014.</w:t>
      </w:r>
    </w:p>
    <w:p w14:paraId="38ACDE00" w14:textId="77777777" w:rsidR="00000000" w:rsidRDefault="005C1232" w:rsidP="00D45913">
      <w:pPr>
        <w:pStyle w:val="p"/>
      </w:pPr>
    </w:p>
  </w:footnote>
  <w:footnote w:id="53">
    <w:p w14:paraId="5ACD6F5A" w14:textId="77777777" w:rsidR="00D45913" w:rsidRDefault="00D45913" w:rsidP="00D45913">
      <w:pPr>
        <w:pStyle w:val="p"/>
      </w:pPr>
      <w:r w:rsidRPr="0030192A">
        <w:rPr>
          <w:rStyle w:val="FootnoteReference"/>
        </w:rPr>
        <w:t xml:space="preserve"> </w:t>
      </w:r>
      <w:r>
        <w:rPr>
          <w:vertAlign w:val="superscript"/>
        </w:rPr>
        <w:t>41</w:t>
      </w:r>
      <w:r>
        <w:t xml:space="preserve"> S.56 TPCA, 2014. </w:t>
      </w:r>
    </w:p>
    <w:p w14:paraId="1635C93B" w14:textId="77777777" w:rsidR="00000000" w:rsidRDefault="005C1232" w:rsidP="00D45913">
      <w:pPr>
        <w:pStyle w:val="p"/>
      </w:pPr>
    </w:p>
  </w:footnote>
  <w:footnote w:id="54">
    <w:p w14:paraId="2875A7BD" w14:textId="77777777" w:rsidR="00D45913" w:rsidRDefault="00D45913" w:rsidP="00D45913">
      <w:pPr>
        <w:pStyle w:val="p"/>
      </w:pPr>
      <w:r w:rsidRPr="0030192A">
        <w:rPr>
          <w:rStyle w:val="FootnoteReference"/>
        </w:rPr>
        <w:t xml:space="preserve"> </w:t>
      </w:r>
      <w:r>
        <w:rPr>
          <w:vertAlign w:val="superscript"/>
        </w:rPr>
        <w:t>42</w:t>
      </w:r>
      <w:r>
        <w:t xml:space="preserve"> S.50 TPCA, 2014.</w:t>
      </w:r>
    </w:p>
    <w:p w14:paraId="44B0C631" w14:textId="77777777" w:rsidR="00000000" w:rsidRDefault="005C1232" w:rsidP="00D45913">
      <w:pPr>
        <w:pStyle w:val="p"/>
      </w:pPr>
    </w:p>
  </w:footnote>
  <w:footnote w:id="55">
    <w:p w14:paraId="4CB0190C" w14:textId="77777777" w:rsidR="00D45913" w:rsidRDefault="00D45913" w:rsidP="00D45913">
      <w:pPr>
        <w:pStyle w:val="p"/>
      </w:pPr>
      <w:r w:rsidRPr="0030192A">
        <w:rPr>
          <w:rStyle w:val="FootnoteReference"/>
        </w:rPr>
        <w:t xml:space="preserve"> </w:t>
      </w:r>
      <w:r>
        <w:rPr>
          <w:vertAlign w:val="superscript"/>
        </w:rPr>
        <w:t>43</w:t>
      </w:r>
      <w:r>
        <w:t xml:space="preserve"> S.58 TPCA, 2014, as amended by Tax Procedures Code (Amendment) Act, 2022.  </w:t>
      </w:r>
    </w:p>
    <w:p w14:paraId="1ABDB3A2" w14:textId="77777777" w:rsidR="00000000" w:rsidRDefault="005C1232" w:rsidP="00D45913">
      <w:pPr>
        <w:pStyle w:val="p"/>
      </w:pPr>
    </w:p>
  </w:footnote>
  <w:footnote w:id="56">
    <w:p w14:paraId="7AA11242" w14:textId="77777777" w:rsidR="00D45913" w:rsidRDefault="00D45913" w:rsidP="00D45913">
      <w:pPr>
        <w:pStyle w:val="p"/>
      </w:pPr>
      <w:r w:rsidRPr="0030192A">
        <w:rPr>
          <w:rStyle w:val="FootnoteReference"/>
        </w:rPr>
        <w:t xml:space="preserve"> </w:t>
      </w:r>
      <w:r>
        <w:rPr>
          <w:vertAlign w:val="superscript"/>
        </w:rPr>
        <w:t>44</w:t>
      </w:r>
      <w:r>
        <w:t xml:space="preserve"> S.51 TPCA, 2014.</w:t>
      </w:r>
    </w:p>
    <w:p w14:paraId="104667F7" w14:textId="77777777" w:rsidR="00000000" w:rsidRDefault="005C1232" w:rsidP="00D45913">
      <w:pPr>
        <w:pStyle w:val="p"/>
      </w:pPr>
    </w:p>
  </w:footnote>
  <w:footnote w:id="57">
    <w:p w14:paraId="780F171D" w14:textId="77777777" w:rsidR="00D45913" w:rsidRDefault="00D45913" w:rsidP="00D45913">
      <w:pPr>
        <w:pStyle w:val="p"/>
      </w:pPr>
      <w:r w:rsidRPr="0030192A">
        <w:rPr>
          <w:rStyle w:val="FootnoteReference"/>
        </w:rPr>
        <w:t xml:space="preserve"> </w:t>
      </w:r>
      <w:r>
        <w:rPr>
          <w:vertAlign w:val="superscript"/>
        </w:rPr>
        <w:t>45</w:t>
      </w:r>
      <w:r>
        <w:t xml:space="preserve"> S.60 TPCA, 2014.  </w:t>
      </w:r>
    </w:p>
    <w:p w14:paraId="75F6B010" w14:textId="77777777" w:rsidR="00000000" w:rsidRDefault="005C1232" w:rsidP="00D45913">
      <w:pPr>
        <w:pStyle w:val="p"/>
      </w:pPr>
    </w:p>
  </w:footnote>
  <w:footnote w:id="58">
    <w:p w14:paraId="13CD51D2" w14:textId="77777777" w:rsidR="00431024" w:rsidRDefault="00431024">
      <w:pPr>
        <w:pStyle w:val="p"/>
      </w:pPr>
      <w:r w:rsidRPr="0030192A">
        <w:rPr>
          <w:rStyle w:val="FootnoteReference"/>
        </w:rPr>
        <w:t xml:space="preserve"> </w:t>
      </w:r>
      <w:r>
        <w:rPr>
          <w:vertAlign w:val="superscript"/>
        </w:rPr>
        <w:t>57</w:t>
      </w:r>
      <w:r>
        <w:t xml:space="preserve"> S.15</w:t>
      </w:r>
      <w:r w:rsidR="0091316D">
        <w:t xml:space="preserve"> </w:t>
      </w:r>
      <w:r>
        <w:t>TPCA</w:t>
      </w:r>
      <w:r w:rsidR="0091316D">
        <w:t>, 2014</w:t>
      </w:r>
      <w:r>
        <w:t>.</w:t>
      </w:r>
    </w:p>
    <w:p w14:paraId="46C8B071" w14:textId="77777777" w:rsidR="00000000" w:rsidRDefault="005C1232">
      <w:pPr>
        <w:pStyle w:val="p"/>
      </w:pPr>
    </w:p>
  </w:footnote>
  <w:footnote w:id="59">
    <w:p w14:paraId="1C25C003" w14:textId="77777777" w:rsidR="00431024" w:rsidRDefault="00431024">
      <w:pPr>
        <w:pStyle w:val="p"/>
      </w:pPr>
      <w:r w:rsidRPr="0030192A">
        <w:rPr>
          <w:rStyle w:val="FootnoteReference"/>
        </w:rPr>
        <w:t xml:space="preserve"> </w:t>
      </w:r>
      <w:r>
        <w:rPr>
          <w:vertAlign w:val="superscript"/>
        </w:rPr>
        <w:t>58</w:t>
      </w:r>
      <w:r>
        <w:t xml:space="preserve"> S.23 TPCA</w:t>
      </w:r>
      <w:r w:rsidR="0091316D">
        <w:t>, 2014</w:t>
      </w:r>
      <w:r>
        <w:t>.</w:t>
      </w:r>
    </w:p>
    <w:p w14:paraId="6F43E836" w14:textId="77777777" w:rsidR="00000000" w:rsidRDefault="005C1232">
      <w:pPr>
        <w:pStyle w:val="p"/>
      </w:pPr>
    </w:p>
  </w:footnote>
  <w:footnote w:id="60">
    <w:p w14:paraId="1B305781" w14:textId="77777777" w:rsidR="00431024" w:rsidRDefault="00431024">
      <w:pPr>
        <w:pStyle w:val="p"/>
      </w:pPr>
      <w:r w:rsidRPr="0030192A">
        <w:rPr>
          <w:rStyle w:val="FootnoteReference"/>
        </w:rPr>
        <w:t xml:space="preserve"> </w:t>
      </w:r>
      <w:r>
        <w:rPr>
          <w:vertAlign w:val="superscript"/>
        </w:rPr>
        <w:t>59</w:t>
      </w:r>
      <w:r>
        <w:t xml:space="preserve"> S.7(1)</w:t>
      </w:r>
      <w:r w:rsidR="0091316D">
        <w:t>, Part II Third Schedule</w:t>
      </w:r>
      <w:r w:rsidR="00C80B51">
        <w:t xml:space="preserve"> </w:t>
      </w:r>
      <w:r>
        <w:t xml:space="preserve">ITA, </w:t>
      </w:r>
      <w:r w:rsidR="005414FC">
        <w:t xml:space="preserve">Cap 340 of </w:t>
      </w:r>
      <w:r w:rsidR="0091316D">
        <w:t>1997</w:t>
      </w:r>
      <w:r>
        <w:t>.</w:t>
      </w:r>
    </w:p>
    <w:p w14:paraId="2899BB51" w14:textId="77777777" w:rsidR="00000000" w:rsidRDefault="005C1232">
      <w:pPr>
        <w:pStyle w:val="p"/>
      </w:pPr>
    </w:p>
  </w:footnote>
  <w:footnote w:id="61">
    <w:p w14:paraId="2CB3E8E5" w14:textId="77777777" w:rsidR="00431024" w:rsidRDefault="00431024">
      <w:pPr>
        <w:pStyle w:val="p"/>
      </w:pPr>
      <w:r w:rsidRPr="0030192A">
        <w:rPr>
          <w:rStyle w:val="FootnoteReference"/>
        </w:rPr>
        <w:t xml:space="preserve"> </w:t>
      </w:r>
      <w:r>
        <w:rPr>
          <w:vertAlign w:val="superscript"/>
        </w:rPr>
        <w:t>62</w:t>
      </w:r>
      <w:r>
        <w:t xml:space="preserve"> S.4(5), </w:t>
      </w:r>
      <w:r w:rsidR="00A876F5">
        <w:t>Part I, Second Schedule, IT</w:t>
      </w:r>
      <w:r w:rsidR="0096182C">
        <w:t>A</w:t>
      </w:r>
      <w:r w:rsidR="00C80B51">
        <w:t>, Cap 340 of 1997.</w:t>
      </w:r>
    </w:p>
    <w:p w14:paraId="0CFA6433" w14:textId="77777777" w:rsidR="00000000" w:rsidRDefault="005C1232">
      <w:pPr>
        <w:pStyle w:val="p"/>
      </w:pPr>
    </w:p>
  </w:footnote>
  <w:footnote w:id="62">
    <w:p w14:paraId="7CE2A52E" w14:textId="77777777" w:rsidR="00431024" w:rsidRDefault="00431024">
      <w:pPr>
        <w:pStyle w:val="p"/>
      </w:pPr>
      <w:r w:rsidRPr="0030192A">
        <w:rPr>
          <w:rStyle w:val="FootnoteReference"/>
        </w:rPr>
        <w:t xml:space="preserve"> </w:t>
      </w:r>
      <w:r>
        <w:rPr>
          <w:vertAlign w:val="superscript"/>
        </w:rPr>
        <w:t>63</w:t>
      </w:r>
      <w:r>
        <w:t xml:space="preserve"> S.4(5) </w:t>
      </w:r>
      <w:r w:rsidR="00E3433E">
        <w:t xml:space="preserve">Part II, Second Schedule </w:t>
      </w:r>
      <w:r>
        <w:t xml:space="preserve">ITA, </w:t>
      </w:r>
      <w:r w:rsidR="005414FC">
        <w:t xml:space="preserve">Cap 340 of </w:t>
      </w:r>
      <w:r w:rsidR="00E3433E">
        <w:t>1997.</w:t>
      </w:r>
    </w:p>
    <w:p w14:paraId="1DE7DFCE" w14:textId="77777777" w:rsidR="00000000" w:rsidRDefault="005C1232">
      <w:pPr>
        <w:pStyle w:val="p"/>
      </w:pPr>
    </w:p>
  </w:footnote>
  <w:footnote w:id="63">
    <w:p w14:paraId="6381B2AF" w14:textId="77777777" w:rsidR="00431024" w:rsidRDefault="00431024">
      <w:pPr>
        <w:pStyle w:val="p"/>
      </w:pPr>
      <w:r w:rsidRPr="0030192A">
        <w:rPr>
          <w:rStyle w:val="FootnoteReference"/>
        </w:rPr>
        <w:t xml:space="preserve"> </w:t>
      </w:r>
      <w:r>
        <w:rPr>
          <w:vertAlign w:val="superscript"/>
        </w:rPr>
        <w:t>64</w:t>
      </w:r>
      <w:r>
        <w:t xml:space="preserve"> S.4(7) ITA,</w:t>
      </w:r>
      <w:r w:rsidR="00E3433E">
        <w:t xml:space="preserve"> </w:t>
      </w:r>
      <w:r w:rsidR="005414FC">
        <w:t xml:space="preserve">Cap 340 of </w:t>
      </w:r>
      <w:r w:rsidR="00E3433E">
        <w:t>1997</w:t>
      </w:r>
      <w:r>
        <w:t>.</w:t>
      </w:r>
    </w:p>
    <w:p w14:paraId="01B0BD0B" w14:textId="77777777" w:rsidR="00000000" w:rsidRDefault="005C1232">
      <w:pPr>
        <w:pStyle w:val="p"/>
      </w:pPr>
    </w:p>
  </w:footnote>
  <w:footnote w:id="64">
    <w:p w14:paraId="7450FDD3" w14:textId="77777777" w:rsidR="00431024" w:rsidRDefault="00431024">
      <w:pPr>
        <w:pStyle w:val="p"/>
      </w:pPr>
      <w:r w:rsidRPr="0030192A">
        <w:rPr>
          <w:rStyle w:val="FootnoteReference"/>
        </w:rPr>
        <w:t xml:space="preserve"> </w:t>
      </w:r>
      <w:r>
        <w:rPr>
          <w:vertAlign w:val="superscript"/>
        </w:rPr>
        <w:t>65</w:t>
      </w:r>
      <w:r>
        <w:t xml:space="preserve"> Districts, towns and counties are considered to be under the local authorities.</w:t>
      </w:r>
    </w:p>
    <w:p w14:paraId="622675A6" w14:textId="77777777" w:rsidR="00000000" w:rsidRDefault="005C1232">
      <w:pPr>
        <w:pStyle w:val="p"/>
      </w:pPr>
    </w:p>
  </w:footnote>
  <w:footnote w:id="65">
    <w:p w14:paraId="787C44BB" w14:textId="77777777" w:rsidR="00431024" w:rsidRDefault="00431024">
      <w:pPr>
        <w:pStyle w:val="p"/>
      </w:pPr>
      <w:r w:rsidRPr="0030192A">
        <w:rPr>
          <w:rStyle w:val="FootnoteReference"/>
        </w:rPr>
        <w:t xml:space="preserve"> </w:t>
      </w:r>
      <w:r>
        <w:rPr>
          <w:vertAlign w:val="superscript"/>
        </w:rPr>
        <w:t>66</w:t>
      </w:r>
      <w:r>
        <w:t xml:space="preserve"> Ss.80(1), (1a) The Local Governments Act</w:t>
      </w:r>
      <w:r w:rsidR="00E3433E">
        <w:t>, Cap 243</w:t>
      </w:r>
      <w:r>
        <w:t xml:space="preserve"> of 2008.</w:t>
      </w:r>
    </w:p>
    <w:p w14:paraId="5265BB8F" w14:textId="77777777" w:rsidR="00000000" w:rsidRDefault="005C1232">
      <w:pPr>
        <w:pStyle w:val="p"/>
      </w:pPr>
    </w:p>
  </w:footnote>
  <w:footnote w:id="66">
    <w:p w14:paraId="23D94015" w14:textId="77777777" w:rsidR="00431024" w:rsidRDefault="00431024">
      <w:pPr>
        <w:pStyle w:val="p"/>
      </w:pPr>
      <w:r w:rsidRPr="0030192A">
        <w:rPr>
          <w:rStyle w:val="FootnoteReference"/>
        </w:rPr>
        <w:t xml:space="preserve"> </w:t>
      </w:r>
      <w:r>
        <w:rPr>
          <w:vertAlign w:val="superscript"/>
        </w:rPr>
        <w:t>67</w:t>
      </w:r>
      <w:r>
        <w:t xml:space="preserve"> S.18(1)(a) ITA, </w:t>
      </w:r>
      <w:r w:rsidR="005414FC">
        <w:t xml:space="preserve">Cap 340 of </w:t>
      </w:r>
      <w:r w:rsidR="00E3433E">
        <w:t>1997</w:t>
      </w:r>
      <w:r>
        <w:t>.</w:t>
      </w:r>
    </w:p>
    <w:p w14:paraId="607C2504" w14:textId="77777777" w:rsidR="00000000" w:rsidRDefault="005C1232">
      <w:pPr>
        <w:pStyle w:val="p"/>
      </w:pPr>
    </w:p>
  </w:footnote>
  <w:footnote w:id="67">
    <w:p w14:paraId="15A4FDEC" w14:textId="77777777" w:rsidR="00431024" w:rsidRDefault="00431024">
      <w:pPr>
        <w:pStyle w:val="p"/>
      </w:pPr>
      <w:r w:rsidRPr="0030192A">
        <w:rPr>
          <w:rStyle w:val="FootnoteReference"/>
        </w:rPr>
        <w:t xml:space="preserve"> </w:t>
      </w:r>
      <w:r>
        <w:rPr>
          <w:vertAlign w:val="superscript"/>
        </w:rPr>
        <w:t>68</w:t>
      </w:r>
      <w:r>
        <w:t xml:space="preserve"> S.50 ITA, </w:t>
      </w:r>
      <w:r w:rsidR="005414FC">
        <w:t xml:space="preserve">Cap 340 of </w:t>
      </w:r>
      <w:r w:rsidR="00E3433E">
        <w:t>1997</w:t>
      </w:r>
      <w:r>
        <w:t>.</w:t>
      </w:r>
    </w:p>
    <w:p w14:paraId="75ADF6AF" w14:textId="77777777" w:rsidR="00000000" w:rsidRDefault="005C1232">
      <w:pPr>
        <w:pStyle w:val="p"/>
      </w:pPr>
    </w:p>
  </w:footnote>
  <w:footnote w:id="68">
    <w:p w14:paraId="2DDDA15E" w14:textId="77777777" w:rsidR="00431024" w:rsidRDefault="00431024">
      <w:pPr>
        <w:pStyle w:val="p"/>
      </w:pPr>
      <w:r w:rsidRPr="0030192A">
        <w:rPr>
          <w:rStyle w:val="FootnoteReference"/>
        </w:rPr>
        <w:t xml:space="preserve"> </w:t>
      </w:r>
      <w:r>
        <w:rPr>
          <w:vertAlign w:val="superscript"/>
        </w:rPr>
        <w:t>69</w:t>
      </w:r>
      <w:r>
        <w:t xml:space="preserve"> S.51 ITA, </w:t>
      </w:r>
      <w:r w:rsidR="005414FC">
        <w:t xml:space="preserve">Cap 340 of </w:t>
      </w:r>
      <w:r w:rsidR="00E3433E">
        <w:t>1997</w:t>
      </w:r>
      <w:r>
        <w:t>.</w:t>
      </w:r>
    </w:p>
    <w:p w14:paraId="2A846E7D" w14:textId="77777777" w:rsidR="00000000" w:rsidRDefault="005C1232">
      <w:pPr>
        <w:pStyle w:val="p"/>
      </w:pPr>
    </w:p>
  </w:footnote>
  <w:footnote w:id="69">
    <w:p w14:paraId="358F74FF" w14:textId="77777777" w:rsidR="00431024" w:rsidRDefault="00431024">
      <w:pPr>
        <w:pStyle w:val="p"/>
      </w:pPr>
      <w:r w:rsidRPr="0030192A">
        <w:rPr>
          <w:rStyle w:val="FootnoteReference"/>
        </w:rPr>
        <w:t xml:space="preserve"> </w:t>
      </w:r>
      <w:r>
        <w:rPr>
          <w:vertAlign w:val="superscript"/>
        </w:rPr>
        <w:t>70</w:t>
      </w:r>
      <w:r>
        <w:t xml:space="preserve"> Ss.50(3), 52(2) ITA, </w:t>
      </w:r>
      <w:r w:rsidR="005414FC">
        <w:t xml:space="preserve">Cap 340 of </w:t>
      </w:r>
      <w:r w:rsidR="00E3433E">
        <w:t>1997</w:t>
      </w:r>
      <w:r>
        <w:t>.</w:t>
      </w:r>
    </w:p>
    <w:p w14:paraId="5B882E55" w14:textId="77777777" w:rsidR="00000000" w:rsidRDefault="005C1232">
      <w:pPr>
        <w:pStyle w:val="p"/>
      </w:pPr>
    </w:p>
  </w:footnote>
  <w:footnote w:id="70">
    <w:p w14:paraId="1266489A" w14:textId="77777777" w:rsidR="00431024" w:rsidRDefault="00431024">
      <w:pPr>
        <w:pStyle w:val="p"/>
      </w:pPr>
      <w:r w:rsidRPr="0030192A">
        <w:rPr>
          <w:rStyle w:val="FootnoteReference"/>
        </w:rPr>
        <w:t xml:space="preserve"> </w:t>
      </w:r>
      <w:r>
        <w:rPr>
          <w:vertAlign w:val="superscript"/>
        </w:rPr>
        <w:t>71</w:t>
      </w:r>
      <w:r>
        <w:t xml:space="preserve"> S.50(4) ITA, </w:t>
      </w:r>
      <w:r w:rsidR="005414FC">
        <w:t xml:space="preserve">Cap 340 of </w:t>
      </w:r>
      <w:r w:rsidR="00E3433E">
        <w:t>1997</w:t>
      </w:r>
      <w:r>
        <w:t>.</w:t>
      </w:r>
    </w:p>
    <w:p w14:paraId="78FBE7A0" w14:textId="77777777" w:rsidR="00000000" w:rsidRDefault="005C1232">
      <w:pPr>
        <w:pStyle w:val="p"/>
      </w:pPr>
    </w:p>
  </w:footnote>
  <w:footnote w:id="71">
    <w:p w14:paraId="72F1E15A" w14:textId="77777777" w:rsidR="00431024" w:rsidRDefault="00431024">
      <w:pPr>
        <w:pStyle w:val="p"/>
      </w:pPr>
      <w:r w:rsidRPr="0030192A">
        <w:rPr>
          <w:rStyle w:val="FootnoteReference"/>
        </w:rPr>
        <w:t xml:space="preserve"> </w:t>
      </w:r>
      <w:r>
        <w:rPr>
          <w:vertAlign w:val="superscript"/>
        </w:rPr>
        <w:t>72</w:t>
      </w:r>
      <w:r>
        <w:t xml:space="preserve"> S.2(na) IT</w:t>
      </w:r>
      <w:r w:rsidR="00E04F72">
        <w:t>A</w:t>
      </w:r>
      <w:r w:rsidR="00C80B51">
        <w:t>, Cap 340 of 1997.</w:t>
      </w:r>
    </w:p>
    <w:p w14:paraId="445F4031" w14:textId="77777777" w:rsidR="00000000" w:rsidRDefault="005C1232">
      <w:pPr>
        <w:pStyle w:val="p"/>
      </w:pPr>
    </w:p>
  </w:footnote>
  <w:footnote w:id="72">
    <w:p w14:paraId="152E7371" w14:textId="77777777" w:rsidR="00431024" w:rsidRDefault="00431024">
      <w:pPr>
        <w:pStyle w:val="p"/>
      </w:pPr>
      <w:r w:rsidRPr="0030192A">
        <w:rPr>
          <w:rStyle w:val="FootnoteReference"/>
        </w:rPr>
        <w:t xml:space="preserve"> </w:t>
      </w:r>
      <w:r>
        <w:rPr>
          <w:vertAlign w:val="superscript"/>
        </w:rPr>
        <w:t>73</w:t>
      </w:r>
      <w:r>
        <w:t xml:space="preserve"> S.51(4) ITA, </w:t>
      </w:r>
      <w:r w:rsidR="005414FC">
        <w:t xml:space="preserve">Cap 340 of </w:t>
      </w:r>
      <w:r w:rsidR="00423AA4">
        <w:t>1997</w:t>
      </w:r>
      <w:r>
        <w:t>.</w:t>
      </w:r>
    </w:p>
    <w:p w14:paraId="320F6F26" w14:textId="77777777" w:rsidR="00000000" w:rsidRDefault="005C1232">
      <w:pPr>
        <w:pStyle w:val="p"/>
      </w:pPr>
    </w:p>
  </w:footnote>
  <w:footnote w:id="73">
    <w:p w14:paraId="1527C805" w14:textId="77777777" w:rsidR="00431024" w:rsidRDefault="00431024">
      <w:pPr>
        <w:pStyle w:val="p"/>
      </w:pPr>
      <w:r w:rsidRPr="0030192A">
        <w:rPr>
          <w:rStyle w:val="FootnoteReference"/>
        </w:rPr>
        <w:t xml:space="preserve"> </w:t>
      </w:r>
      <w:r>
        <w:rPr>
          <w:vertAlign w:val="superscript"/>
        </w:rPr>
        <w:t>74</w:t>
      </w:r>
      <w:r>
        <w:t xml:space="preserve"> S.77 ITA, </w:t>
      </w:r>
      <w:r w:rsidR="005414FC">
        <w:t xml:space="preserve">Cap 340 of </w:t>
      </w:r>
      <w:r w:rsidR="00423AA4">
        <w:t>1997</w:t>
      </w:r>
      <w:r>
        <w:t>.</w:t>
      </w:r>
    </w:p>
    <w:p w14:paraId="323118AC" w14:textId="77777777" w:rsidR="00000000" w:rsidRDefault="005C1232">
      <w:pPr>
        <w:pStyle w:val="p"/>
      </w:pPr>
    </w:p>
  </w:footnote>
  <w:footnote w:id="74">
    <w:p w14:paraId="208C4272" w14:textId="77777777" w:rsidR="00431024" w:rsidRDefault="00431024">
      <w:pPr>
        <w:pStyle w:val="p"/>
      </w:pPr>
      <w:r w:rsidRPr="0030192A">
        <w:rPr>
          <w:rStyle w:val="FootnoteReference"/>
        </w:rPr>
        <w:t xml:space="preserve"> </w:t>
      </w:r>
      <w:r>
        <w:rPr>
          <w:vertAlign w:val="superscript"/>
        </w:rPr>
        <w:t>75</w:t>
      </w:r>
      <w:r>
        <w:t xml:space="preserve"> S.77 ITA, </w:t>
      </w:r>
      <w:r w:rsidR="005414FC">
        <w:t xml:space="preserve">Cap 340 of </w:t>
      </w:r>
      <w:r w:rsidR="00423AA4">
        <w:t>1997</w:t>
      </w:r>
      <w:r>
        <w:t>.</w:t>
      </w:r>
    </w:p>
    <w:p w14:paraId="3FDDDF96" w14:textId="77777777" w:rsidR="00000000" w:rsidRDefault="005C1232">
      <w:pPr>
        <w:pStyle w:val="p"/>
      </w:pPr>
    </w:p>
  </w:footnote>
  <w:footnote w:id="75">
    <w:p w14:paraId="3DD764F8" w14:textId="77777777" w:rsidR="00431024" w:rsidRDefault="00431024">
      <w:pPr>
        <w:pStyle w:val="p"/>
      </w:pPr>
      <w:r w:rsidRPr="0030192A">
        <w:rPr>
          <w:rStyle w:val="FootnoteReference"/>
        </w:rPr>
        <w:t xml:space="preserve"> </w:t>
      </w:r>
      <w:r>
        <w:rPr>
          <w:vertAlign w:val="superscript"/>
        </w:rPr>
        <w:t>76</w:t>
      </w:r>
      <w:r>
        <w:t xml:space="preserve"> S.77 ITA, </w:t>
      </w:r>
      <w:r w:rsidR="005414FC">
        <w:t xml:space="preserve">Cap 340 of </w:t>
      </w:r>
      <w:r w:rsidR="00423AA4">
        <w:t>1997</w:t>
      </w:r>
      <w:r>
        <w:t>.</w:t>
      </w:r>
    </w:p>
    <w:p w14:paraId="0B495204" w14:textId="77777777" w:rsidR="00000000" w:rsidRDefault="005C1232">
      <w:pPr>
        <w:pStyle w:val="p"/>
      </w:pPr>
    </w:p>
  </w:footnote>
  <w:footnote w:id="76">
    <w:p w14:paraId="16DC27B7" w14:textId="77777777" w:rsidR="00431024" w:rsidRDefault="00431024">
      <w:pPr>
        <w:pStyle w:val="p"/>
      </w:pPr>
      <w:r w:rsidRPr="0030192A">
        <w:rPr>
          <w:rStyle w:val="FootnoteReference"/>
        </w:rPr>
        <w:t xml:space="preserve"> </w:t>
      </w:r>
      <w:r>
        <w:rPr>
          <w:vertAlign w:val="superscript"/>
        </w:rPr>
        <w:t>77</w:t>
      </w:r>
      <w:r>
        <w:t xml:space="preserve"> S.77 ITA, </w:t>
      </w:r>
      <w:r w:rsidR="005414FC">
        <w:t xml:space="preserve">Cap 340 of </w:t>
      </w:r>
      <w:r w:rsidR="00423AA4">
        <w:t>1997</w:t>
      </w:r>
      <w:r>
        <w:t>.</w:t>
      </w:r>
    </w:p>
    <w:p w14:paraId="16EC5D2B" w14:textId="77777777" w:rsidR="00000000" w:rsidRDefault="005C1232">
      <w:pPr>
        <w:pStyle w:val="p"/>
      </w:pPr>
    </w:p>
  </w:footnote>
  <w:footnote w:id="77">
    <w:p w14:paraId="04BEEB41" w14:textId="77777777" w:rsidR="00431024" w:rsidRDefault="00431024">
      <w:pPr>
        <w:pStyle w:val="p"/>
      </w:pPr>
      <w:r w:rsidRPr="0030192A">
        <w:rPr>
          <w:rStyle w:val="FootnoteReference"/>
        </w:rPr>
        <w:t xml:space="preserve"> </w:t>
      </w:r>
      <w:r>
        <w:rPr>
          <w:vertAlign w:val="superscript"/>
        </w:rPr>
        <w:t>78</w:t>
      </w:r>
      <w:r>
        <w:t xml:space="preserve"> S.38 ITA, Cap. 340</w:t>
      </w:r>
      <w:r w:rsidR="008541DB">
        <w:t xml:space="preserve"> of 1997.</w:t>
      </w:r>
    </w:p>
    <w:p w14:paraId="2B53CBAB" w14:textId="77777777" w:rsidR="00000000" w:rsidRDefault="005C1232">
      <w:pPr>
        <w:pStyle w:val="p"/>
      </w:pPr>
    </w:p>
  </w:footnote>
  <w:footnote w:id="78">
    <w:p w14:paraId="48B93BA8" w14:textId="77777777" w:rsidR="00431024" w:rsidRDefault="00431024">
      <w:pPr>
        <w:pStyle w:val="p"/>
      </w:pPr>
      <w:r w:rsidRPr="0030192A">
        <w:rPr>
          <w:rStyle w:val="FootnoteReference"/>
        </w:rPr>
        <w:t xml:space="preserve"> </w:t>
      </w:r>
      <w:r>
        <w:rPr>
          <w:vertAlign w:val="superscript"/>
        </w:rPr>
        <w:t>79</w:t>
      </w:r>
      <w:r>
        <w:t xml:space="preserve"> S.38 ITA, Cap. 340</w:t>
      </w:r>
      <w:r w:rsidR="008541DB">
        <w:t xml:space="preserve"> of 1997.</w:t>
      </w:r>
    </w:p>
    <w:p w14:paraId="05328263" w14:textId="77777777" w:rsidR="00000000" w:rsidRDefault="005C1232">
      <w:pPr>
        <w:pStyle w:val="p"/>
      </w:pPr>
    </w:p>
  </w:footnote>
  <w:footnote w:id="79">
    <w:p w14:paraId="7DC0C815" w14:textId="77777777" w:rsidR="00431024" w:rsidRDefault="00431024">
      <w:pPr>
        <w:pStyle w:val="p"/>
      </w:pPr>
      <w:r w:rsidRPr="0030192A">
        <w:rPr>
          <w:rStyle w:val="FootnoteReference"/>
        </w:rPr>
        <w:t xml:space="preserve"> </w:t>
      </w:r>
      <w:r>
        <w:rPr>
          <w:vertAlign w:val="superscript"/>
        </w:rPr>
        <w:t>80</w:t>
      </w:r>
      <w:r>
        <w:t xml:space="preserve"> S.45 ITA, Cap. 340</w:t>
      </w:r>
      <w:r w:rsidR="008541DB">
        <w:t xml:space="preserve"> of 1997.</w:t>
      </w:r>
    </w:p>
    <w:p w14:paraId="67C8CFB4" w14:textId="77777777" w:rsidR="00000000" w:rsidRDefault="005C1232">
      <w:pPr>
        <w:pStyle w:val="p"/>
      </w:pPr>
    </w:p>
  </w:footnote>
  <w:footnote w:id="80">
    <w:p w14:paraId="1DD512D2" w14:textId="77777777" w:rsidR="00431024" w:rsidRDefault="00431024">
      <w:pPr>
        <w:pStyle w:val="p"/>
      </w:pPr>
      <w:r w:rsidRPr="0030192A">
        <w:rPr>
          <w:rStyle w:val="FootnoteReference"/>
        </w:rPr>
        <w:t xml:space="preserve"> </w:t>
      </w:r>
      <w:r>
        <w:rPr>
          <w:vertAlign w:val="superscript"/>
        </w:rPr>
        <w:t>81</w:t>
      </w:r>
      <w:r>
        <w:t xml:space="preserve"> S.75 ITA, Cap. 340</w:t>
      </w:r>
      <w:r w:rsidR="008541DB">
        <w:t xml:space="preserve"> of 1997. </w:t>
      </w:r>
    </w:p>
    <w:p w14:paraId="123FC162" w14:textId="77777777" w:rsidR="00000000" w:rsidRDefault="005C1232">
      <w:pPr>
        <w:pStyle w:val="p"/>
      </w:pPr>
    </w:p>
  </w:footnote>
  <w:footnote w:id="81">
    <w:p w14:paraId="32EA7DD5" w14:textId="77777777" w:rsidR="00431024" w:rsidRDefault="00431024">
      <w:pPr>
        <w:pStyle w:val="p"/>
      </w:pPr>
      <w:r w:rsidRPr="0030192A">
        <w:rPr>
          <w:rStyle w:val="FootnoteReference"/>
        </w:rPr>
        <w:t xml:space="preserve"> </w:t>
      </w:r>
      <w:r>
        <w:rPr>
          <w:vertAlign w:val="superscript"/>
        </w:rPr>
        <w:t>82</w:t>
      </w:r>
      <w:r>
        <w:t xml:space="preserve"> Ss.83, 87</w:t>
      </w:r>
      <w:r w:rsidR="008541DB">
        <w:t>,</w:t>
      </w:r>
      <w:r>
        <w:t xml:space="preserve"> Part IV</w:t>
      </w:r>
      <w:r w:rsidR="008541DB">
        <w:t>, Third Schedule ITA, Cap 340 of 1997.</w:t>
      </w:r>
    </w:p>
    <w:p w14:paraId="68EA14D1" w14:textId="77777777" w:rsidR="00000000" w:rsidRDefault="005C1232">
      <w:pPr>
        <w:pStyle w:val="p"/>
      </w:pPr>
    </w:p>
  </w:footnote>
  <w:footnote w:id="82">
    <w:p w14:paraId="772D77DB" w14:textId="77777777" w:rsidR="00431024" w:rsidRDefault="00431024">
      <w:pPr>
        <w:pStyle w:val="p"/>
      </w:pPr>
      <w:r w:rsidRPr="0030192A">
        <w:rPr>
          <w:rStyle w:val="FootnoteReference"/>
        </w:rPr>
        <w:t xml:space="preserve"> </w:t>
      </w:r>
      <w:r>
        <w:rPr>
          <w:vertAlign w:val="superscript"/>
        </w:rPr>
        <w:t>83</w:t>
      </w:r>
      <w:r>
        <w:t xml:space="preserve"> Ss.83, 87</w:t>
      </w:r>
      <w:r w:rsidR="008541DB">
        <w:t xml:space="preserve">, </w:t>
      </w:r>
      <w:bookmarkStart w:id="3" w:name="_Hlk119601184"/>
      <w:r>
        <w:t>Part IV</w:t>
      </w:r>
      <w:r w:rsidR="008541DB">
        <w:t>, Third Schedule ITA Cap 340 of 1997.</w:t>
      </w:r>
      <w:bookmarkEnd w:id="3"/>
    </w:p>
    <w:p w14:paraId="265BF5E9" w14:textId="77777777" w:rsidR="00000000" w:rsidRDefault="005C1232">
      <w:pPr>
        <w:pStyle w:val="p"/>
      </w:pPr>
    </w:p>
  </w:footnote>
  <w:footnote w:id="83">
    <w:p w14:paraId="30F5AE1B" w14:textId="77777777" w:rsidR="002D230D" w:rsidRPr="002D230D" w:rsidRDefault="0002516B" w:rsidP="002D230D">
      <w:pPr>
        <w:pStyle w:val="FootnoteText"/>
      </w:pPr>
      <w:r>
        <w:rPr>
          <w:rStyle w:val="FootnoteReference"/>
        </w:rPr>
        <w:footnoteRef/>
      </w:r>
      <w:r>
        <w:t xml:space="preserve"> S.83(</w:t>
      </w:r>
      <w:r w:rsidR="002D230D">
        <w:t>1</w:t>
      </w:r>
      <w:r>
        <w:t>), ITA Cap 340 of 1997</w:t>
      </w:r>
      <w:r w:rsidR="002D230D">
        <w:t xml:space="preserve">, as amended by </w:t>
      </w:r>
      <w:r w:rsidR="002D230D" w:rsidRPr="002D230D">
        <w:t>Income Tax (Amendment) (No.2) Act, 2023, S.</w:t>
      </w:r>
      <w:r w:rsidR="002D230D">
        <w:t>7</w:t>
      </w:r>
      <w:r w:rsidR="002D230D" w:rsidRPr="002D230D">
        <w:t xml:space="preserve">. </w:t>
      </w:r>
    </w:p>
    <w:p w14:paraId="5C252011" w14:textId="77777777" w:rsidR="00000000" w:rsidRDefault="005C1232" w:rsidP="002D230D">
      <w:pPr>
        <w:pStyle w:val="FootnoteText"/>
      </w:pPr>
    </w:p>
  </w:footnote>
  <w:footnote w:id="84">
    <w:p w14:paraId="174C1959" w14:textId="77777777" w:rsidR="00431024" w:rsidRDefault="00431024">
      <w:pPr>
        <w:pStyle w:val="p"/>
      </w:pPr>
      <w:r w:rsidRPr="0030192A">
        <w:rPr>
          <w:rStyle w:val="FootnoteReference"/>
        </w:rPr>
        <w:t xml:space="preserve"> </w:t>
      </w:r>
      <w:r>
        <w:rPr>
          <w:vertAlign w:val="superscript"/>
        </w:rPr>
        <w:t>84</w:t>
      </w:r>
      <w:r>
        <w:t xml:space="preserve"> Ss.83, 87</w:t>
      </w:r>
      <w:r w:rsidR="008541DB">
        <w:t>, Part IV, Third Schedule ITA Cap 340 of 1997.</w:t>
      </w:r>
    </w:p>
    <w:p w14:paraId="5D7537C2" w14:textId="77777777" w:rsidR="00000000" w:rsidRDefault="005C1232">
      <w:pPr>
        <w:pStyle w:val="p"/>
      </w:pPr>
    </w:p>
  </w:footnote>
  <w:footnote w:id="85">
    <w:p w14:paraId="74E8F1CD" w14:textId="77777777" w:rsidR="00431024" w:rsidRDefault="00431024">
      <w:pPr>
        <w:pStyle w:val="p"/>
      </w:pPr>
      <w:r w:rsidRPr="0030192A">
        <w:rPr>
          <w:rStyle w:val="FootnoteReference"/>
        </w:rPr>
        <w:t xml:space="preserve"> </w:t>
      </w:r>
      <w:r>
        <w:rPr>
          <w:vertAlign w:val="superscript"/>
        </w:rPr>
        <w:t>85</w:t>
      </w:r>
      <w:r>
        <w:t xml:space="preserve"> Ss.83, 87</w:t>
      </w:r>
      <w:r w:rsidR="008541DB">
        <w:t>, Part IV, Third Schedule ITA Cap 340 of 1997.</w:t>
      </w:r>
    </w:p>
    <w:p w14:paraId="27914DFE" w14:textId="77777777" w:rsidR="00000000" w:rsidRDefault="005C1232">
      <w:pPr>
        <w:pStyle w:val="p"/>
      </w:pPr>
    </w:p>
  </w:footnote>
  <w:footnote w:id="86">
    <w:p w14:paraId="0C69E151" w14:textId="77777777" w:rsidR="00431024" w:rsidRDefault="00431024">
      <w:pPr>
        <w:pStyle w:val="p"/>
      </w:pPr>
      <w:r w:rsidRPr="0030192A">
        <w:rPr>
          <w:rStyle w:val="FootnoteReference"/>
        </w:rPr>
        <w:t xml:space="preserve"> </w:t>
      </w:r>
      <w:r>
        <w:rPr>
          <w:vertAlign w:val="superscript"/>
        </w:rPr>
        <w:t>86</w:t>
      </w:r>
      <w:r>
        <w:t xml:space="preserve"> Ss.83</w:t>
      </w:r>
      <w:r w:rsidR="0002516B">
        <w:t>(1)</w:t>
      </w:r>
      <w:r>
        <w:t>, 87</w:t>
      </w:r>
      <w:r w:rsidR="008541DB">
        <w:t>, Part IV, Third Schedule ITA Cap 340 of 1997.</w:t>
      </w:r>
    </w:p>
    <w:p w14:paraId="54F5A44F" w14:textId="77777777" w:rsidR="00000000" w:rsidRDefault="005C1232">
      <w:pPr>
        <w:pStyle w:val="p"/>
      </w:pPr>
    </w:p>
  </w:footnote>
  <w:footnote w:id="87">
    <w:p w14:paraId="6EAD5A44" w14:textId="77777777" w:rsidR="00431024" w:rsidRDefault="00431024">
      <w:pPr>
        <w:pStyle w:val="p"/>
      </w:pPr>
      <w:r w:rsidRPr="0030192A">
        <w:rPr>
          <w:rStyle w:val="FootnoteReference"/>
        </w:rPr>
        <w:t xml:space="preserve"> </w:t>
      </w:r>
      <w:r>
        <w:rPr>
          <w:vertAlign w:val="superscript"/>
        </w:rPr>
        <w:t>87</w:t>
      </w:r>
      <w:r>
        <w:t xml:space="preserve"> Ss.83</w:t>
      </w:r>
      <w:r w:rsidR="0002516B">
        <w:t>(1)</w:t>
      </w:r>
      <w:r>
        <w:t>, 87</w:t>
      </w:r>
      <w:r w:rsidR="008541DB">
        <w:t>, Part IV, Third Schedule ITA Cap 340 of 1997.</w:t>
      </w:r>
    </w:p>
    <w:p w14:paraId="0B6CCE4E" w14:textId="77777777" w:rsidR="00000000" w:rsidRDefault="005C1232">
      <w:pPr>
        <w:pStyle w:val="p"/>
      </w:pPr>
    </w:p>
  </w:footnote>
  <w:footnote w:id="88">
    <w:p w14:paraId="68333384" w14:textId="77777777" w:rsidR="00431024" w:rsidRDefault="00431024">
      <w:pPr>
        <w:pStyle w:val="p"/>
      </w:pPr>
      <w:r w:rsidRPr="0030192A">
        <w:rPr>
          <w:rStyle w:val="FootnoteReference"/>
        </w:rPr>
        <w:t xml:space="preserve"> </w:t>
      </w:r>
      <w:r>
        <w:rPr>
          <w:vertAlign w:val="superscript"/>
        </w:rPr>
        <w:t>88</w:t>
      </w:r>
      <w:r>
        <w:t xml:space="preserve"> S.84 ITA, </w:t>
      </w:r>
      <w:r w:rsidR="008541DB">
        <w:t>Part IV, Third Schedule ITA Cap 340 of 1997.</w:t>
      </w:r>
    </w:p>
    <w:p w14:paraId="0F4C3D1A" w14:textId="77777777" w:rsidR="00000000" w:rsidRDefault="005C1232">
      <w:pPr>
        <w:pStyle w:val="p"/>
      </w:pPr>
    </w:p>
  </w:footnote>
  <w:footnote w:id="89">
    <w:p w14:paraId="7AD0C25E" w14:textId="77777777" w:rsidR="00431024" w:rsidRDefault="00431024">
      <w:pPr>
        <w:pStyle w:val="p"/>
      </w:pPr>
      <w:r w:rsidRPr="0030192A">
        <w:rPr>
          <w:rStyle w:val="FootnoteReference"/>
        </w:rPr>
        <w:t xml:space="preserve"> </w:t>
      </w:r>
      <w:r>
        <w:rPr>
          <w:vertAlign w:val="superscript"/>
        </w:rPr>
        <w:t>89</w:t>
      </w:r>
      <w:r>
        <w:t xml:space="preserve"> S.85 ITA, </w:t>
      </w:r>
      <w:r w:rsidR="008541DB">
        <w:t>Part IV, Third Schedule</w:t>
      </w:r>
      <w:r w:rsidR="00C80B51">
        <w:t xml:space="preserve"> </w:t>
      </w:r>
      <w:r w:rsidR="008541DB">
        <w:t>ITA Cap 340 of 1997.</w:t>
      </w:r>
    </w:p>
    <w:p w14:paraId="35BD8BA2" w14:textId="77777777" w:rsidR="00000000" w:rsidRDefault="005C1232">
      <w:pPr>
        <w:pStyle w:val="p"/>
      </w:pPr>
    </w:p>
  </w:footnote>
  <w:footnote w:id="90">
    <w:p w14:paraId="43A28684" w14:textId="77777777" w:rsidR="00000000" w:rsidRDefault="002D230D">
      <w:pPr>
        <w:pStyle w:val="FootnoteText"/>
      </w:pPr>
      <w:r>
        <w:rPr>
          <w:rStyle w:val="FootnoteReference"/>
        </w:rPr>
        <w:footnoteRef/>
      </w:r>
      <w:r>
        <w:t xml:space="preserve"> S.83(5), ITA Cap 340 of 1997.</w:t>
      </w:r>
    </w:p>
  </w:footnote>
  <w:footnote w:id="91">
    <w:p w14:paraId="4D0F466D" w14:textId="77777777" w:rsidR="00431024" w:rsidRDefault="00431024">
      <w:pPr>
        <w:pStyle w:val="p"/>
      </w:pPr>
      <w:r w:rsidRPr="0030192A">
        <w:rPr>
          <w:rStyle w:val="FootnoteReference"/>
        </w:rPr>
        <w:t xml:space="preserve"> </w:t>
      </w:r>
      <w:r>
        <w:rPr>
          <w:vertAlign w:val="superscript"/>
        </w:rPr>
        <w:t>90</w:t>
      </w:r>
      <w:r>
        <w:t xml:space="preserve"> S.86(</w:t>
      </w:r>
      <w:r w:rsidR="0002516B">
        <w:t>2</w:t>
      </w:r>
      <w:r>
        <w:t>)</w:t>
      </w:r>
      <w:r w:rsidR="00C33848">
        <w:t xml:space="preserve">, </w:t>
      </w:r>
      <w:r>
        <w:t>Part VII</w:t>
      </w:r>
      <w:r w:rsidR="00C33848">
        <w:t>, Third Schedule ITA, Cap 340 of 1997</w:t>
      </w:r>
    </w:p>
    <w:p w14:paraId="5E0DA095" w14:textId="77777777" w:rsidR="00000000" w:rsidRDefault="005C1232">
      <w:pPr>
        <w:pStyle w:val="p"/>
      </w:pPr>
    </w:p>
  </w:footnote>
  <w:footnote w:id="92">
    <w:p w14:paraId="4BD65DED" w14:textId="77777777" w:rsidR="00431024" w:rsidRDefault="00431024">
      <w:pPr>
        <w:pStyle w:val="p"/>
      </w:pPr>
      <w:r w:rsidRPr="0030192A">
        <w:rPr>
          <w:rStyle w:val="FootnoteReference"/>
        </w:rPr>
        <w:t xml:space="preserve"> </w:t>
      </w:r>
      <w:r>
        <w:rPr>
          <w:vertAlign w:val="superscript"/>
        </w:rPr>
        <w:t>91</w:t>
      </w:r>
      <w:r>
        <w:t xml:space="preserve"> S.86(4) ITA, Cap. 340</w:t>
      </w:r>
      <w:r w:rsidR="00C33848">
        <w:t xml:space="preserve"> of 1997. </w:t>
      </w:r>
    </w:p>
    <w:p w14:paraId="79DE3937" w14:textId="77777777" w:rsidR="00000000" w:rsidRDefault="005C1232">
      <w:pPr>
        <w:pStyle w:val="p"/>
      </w:pPr>
    </w:p>
  </w:footnote>
  <w:footnote w:id="93">
    <w:p w14:paraId="5D45F74D" w14:textId="77777777" w:rsidR="00431024" w:rsidRDefault="00431024">
      <w:pPr>
        <w:pStyle w:val="p"/>
      </w:pPr>
      <w:r w:rsidRPr="0030192A">
        <w:rPr>
          <w:rStyle w:val="FootnoteReference"/>
        </w:rPr>
        <w:t xml:space="preserve"> </w:t>
      </w:r>
      <w:r>
        <w:rPr>
          <w:vertAlign w:val="superscript"/>
        </w:rPr>
        <w:t>92</w:t>
      </w:r>
      <w:r>
        <w:t xml:space="preserve"> S.87 ITA, Cap. 340</w:t>
      </w:r>
      <w:r w:rsidR="00C33848">
        <w:t xml:space="preserve"> of 1997. </w:t>
      </w:r>
    </w:p>
    <w:p w14:paraId="602D3CC8" w14:textId="77777777" w:rsidR="00000000" w:rsidRDefault="005C1232">
      <w:pPr>
        <w:pStyle w:val="p"/>
      </w:pPr>
    </w:p>
  </w:footnote>
  <w:footnote w:id="94">
    <w:p w14:paraId="4281AF81" w14:textId="77777777" w:rsidR="00431024" w:rsidRDefault="00431024">
      <w:pPr>
        <w:pStyle w:val="p"/>
      </w:pPr>
      <w:r w:rsidRPr="0030192A">
        <w:rPr>
          <w:rStyle w:val="FootnoteReference"/>
        </w:rPr>
        <w:t xml:space="preserve"> </w:t>
      </w:r>
      <w:r>
        <w:rPr>
          <w:vertAlign w:val="superscript"/>
        </w:rPr>
        <w:t>93</w:t>
      </w:r>
      <w:r>
        <w:t xml:space="preserve"> S.9 ITA, Cap. 340</w:t>
      </w:r>
      <w:r w:rsidR="00C33848">
        <w:t xml:space="preserve"> of 1997. </w:t>
      </w:r>
    </w:p>
    <w:p w14:paraId="0436C275" w14:textId="77777777" w:rsidR="00000000" w:rsidRDefault="005C1232">
      <w:pPr>
        <w:pStyle w:val="p"/>
      </w:pPr>
    </w:p>
  </w:footnote>
  <w:footnote w:id="95">
    <w:p w14:paraId="43CEA6C5" w14:textId="77777777" w:rsidR="00431024" w:rsidRDefault="00431024">
      <w:pPr>
        <w:pStyle w:val="p"/>
      </w:pPr>
      <w:r w:rsidRPr="0030192A">
        <w:rPr>
          <w:rStyle w:val="FootnoteReference"/>
        </w:rPr>
        <w:t xml:space="preserve"> </w:t>
      </w:r>
      <w:r>
        <w:rPr>
          <w:vertAlign w:val="superscript"/>
        </w:rPr>
        <w:t>94</w:t>
      </w:r>
      <w:r>
        <w:t xml:space="preserve"> S.17(2)(a) ITA, Cap. 340</w:t>
      </w:r>
      <w:r w:rsidR="00C33848">
        <w:t xml:space="preserve"> of 1997. </w:t>
      </w:r>
    </w:p>
    <w:p w14:paraId="69E0AA1B" w14:textId="77777777" w:rsidR="00000000" w:rsidRDefault="005C1232">
      <w:pPr>
        <w:pStyle w:val="p"/>
      </w:pPr>
    </w:p>
  </w:footnote>
  <w:footnote w:id="96">
    <w:p w14:paraId="6AEAC624" w14:textId="77777777" w:rsidR="00431024" w:rsidRDefault="00431024">
      <w:pPr>
        <w:pStyle w:val="p"/>
      </w:pPr>
      <w:r w:rsidRPr="0030192A">
        <w:rPr>
          <w:rStyle w:val="FootnoteReference"/>
        </w:rPr>
        <w:t xml:space="preserve"> </w:t>
      </w:r>
      <w:r>
        <w:rPr>
          <w:vertAlign w:val="superscript"/>
        </w:rPr>
        <w:t>95</w:t>
      </w:r>
      <w:r>
        <w:t xml:space="preserve"> S.17(2)(b) ITA, Cap. 340</w:t>
      </w:r>
      <w:r w:rsidR="00C33848">
        <w:t xml:space="preserve"> of 1997. </w:t>
      </w:r>
    </w:p>
    <w:p w14:paraId="4BC04857" w14:textId="77777777" w:rsidR="00000000" w:rsidRDefault="005C1232">
      <w:pPr>
        <w:pStyle w:val="p"/>
      </w:pPr>
    </w:p>
  </w:footnote>
  <w:footnote w:id="97">
    <w:p w14:paraId="2AA415C9" w14:textId="77777777" w:rsidR="00431024" w:rsidRDefault="00431024">
      <w:pPr>
        <w:pStyle w:val="p"/>
      </w:pPr>
      <w:r w:rsidRPr="0030192A">
        <w:rPr>
          <w:rStyle w:val="FootnoteReference"/>
        </w:rPr>
        <w:t xml:space="preserve"> </w:t>
      </w:r>
      <w:r>
        <w:rPr>
          <w:vertAlign w:val="superscript"/>
        </w:rPr>
        <w:t>96</w:t>
      </w:r>
      <w:r>
        <w:t xml:space="preserve"> S.17(1) ITA, Cap. 340</w:t>
      </w:r>
      <w:r w:rsidR="00C33848">
        <w:t xml:space="preserve"> of 1997.</w:t>
      </w:r>
    </w:p>
    <w:p w14:paraId="73E4943C" w14:textId="77777777" w:rsidR="00000000" w:rsidRDefault="005C1232">
      <w:pPr>
        <w:pStyle w:val="p"/>
      </w:pPr>
    </w:p>
  </w:footnote>
  <w:footnote w:id="98">
    <w:p w14:paraId="2317C84C" w14:textId="77777777" w:rsidR="00431024" w:rsidRDefault="00431024">
      <w:pPr>
        <w:pStyle w:val="p"/>
      </w:pPr>
      <w:r w:rsidRPr="0030192A">
        <w:rPr>
          <w:rStyle w:val="FootnoteReference"/>
        </w:rPr>
        <w:t xml:space="preserve"> </w:t>
      </w:r>
      <w:r>
        <w:rPr>
          <w:vertAlign w:val="superscript"/>
        </w:rPr>
        <w:t>97</w:t>
      </w:r>
      <w:r>
        <w:t xml:space="preserve"> S.21 ITA, Cap. 340</w:t>
      </w:r>
      <w:r w:rsidR="00C33848">
        <w:t xml:space="preserve"> of 1997.</w:t>
      </w:r>
    </w:p>
    <w:p w14:paraId="626BC0E2" w14:textId="77777777" w:rsidR="00000000" w:rsidRDefault="005C1232">
      <w:pPr>
        <w:pStyle w:val="p"/>
      </w:pPr>
    </w:p>
  </w:footnote>
  <w:footnote w:id="99">
    <w:p w14:paraId="5AD37D8F" w14:textId="77777777" w:rsidR="00431024" w:rsidRDefault="00431024">
      <w:pPr>
        <w:pStyle w:val="p"/>
      </w:pPr>
      <w:r w:rsidRPr="0030192A">
        <w:rPr>
          <w:rStyle w:val="FootnoteReference"/>
        </w:rPr>
        <w:t xml:space="preserve"> </w:t>
      </w:r>
      <w:r>
        <w:rPr>
          <w:vertAlign w:val="superscript"/>
        </w:rPr>
        <w:t>98</w:t>
      </w:r>
      <w:r>
        <w:t xml:space="preserve"> S.19 ITA, Fifth Schedule</w:t>
      </w:r>
      <w:r w:rsidR="00C33848">
        <w:t xml:space="preserve"> ITA</w:t>
      </w:r>
      <w:r w:rsidR="00C80B51">
        <w:t>,</w:t>
      </w:r>
      <w:r w:rsidR="00C33848">
        <w:t xml:space="preserve"> Cap 340 of 1997.</w:t>
      </w:r>
    </w:p>
    <w:p w14:paraId="7E84C085" w14:textId="77777777" w:rsidR="00000000" w:rsidRDefault="005C1232">
      <w:pPr>
        <w:pStyle w:val="p"/>
      </w:pPr>
    </w:p>
  </w:footnote>
  <w:footnote w:id="100">
    <w:p w14:paraId="45DAABE5" w14:textId="77777777" w:rsidR="00431024" w:rsidRDefault="00431024">
      <w:pPr>
        <w:pStyle w:val="p"/>
      </w:pPr>
      <w:r w:rsidRPr="0030192A">
        <w:rPr>
          <w:rStyle w:val="FootnoteReference"/>
        </w:rPr>
        <w:t xml:space="preserve"> </w:t>
      </w:r>
      <w:r>
        <w:rPr>
          <w:vertAlign w:val="superscript"/>
        </w:rPr>
        <w:t>99</w:t>
      </w:r>
      <w:r>
        <w:t xml:space="preserve"> S.19 ITA, Cap. 340</w:t>
      </w:r>
      <w:r w:rsidR="00C33848">
        <w:t xml:space="preserve"> of 1997. </w:t>
      </w:r>
    </w:p>
    <w:p w14:paraId="71015A83" w14:textId="77777777" w:rsidR="00000000" w:rsidRDefault="005C1232">
      <w:pPr>
        <w:pStyle w:val="p"/>
      </w:pPr>
    </w:p>
  </w:footnote>
  <w:footnote w:id="101">
    <w:p w14:paraId="5BFA4A20" w14:textId="77777777" w:rsidR="00431024" w:rsidRDefault="00431024">
      <w:pPr>
        <w:pStyle w:val="p"/>
      </w:pPr>
      <w:r w:rsidRPr="0030192A">
        <w:rPr>
          <w:rStyle w:val="FootnoteReference"/>
        </w:rPr>
        <w:t xml:space="preserve"> </w:t>
      </w:r>
      <w:r>
        <w:rPr>
          <w:vertAlign w:val="superscript"/>
        </w:rPr>
        <w:t>100</w:t>
      </w:r>
      <w:r>
        <w:t xml:space="preserve"> S.22(1)(d)</w:t>
      </w:r>
      <w:r w:rsidR="00093F43">
        <w:t>, (2)(n),</w:t>
      </w:r>
      <w:r w:rsidR="005414FC">
        <w:t xml:space="preserve"> </w:t>
      </w:r>
      <w:r>
        <w:t>ITA, Cap. 340</w:t>
      </w:r>
      <w:r w:rsidR="00C33848">
        <w:t xml:space="preserve"> of 1997.</w:t>
      </w:r>
    </w:p>
    <w:p w14:paraId="2BFA9541" w14:textId="77777777" w:rsidR="00000000" w:rsidRDefault="005C1232">
      <w:pPr>
        <w:pStyle w:val="p"/>
      </w:pPr>
    </w:p>
  </w:footnote>
  <w:footnote w:id="102">
    <w:p w14:paraId="473C9A1B" w14:textId="77777777" w:rsidR="00431024" w:rsidRDefault="00431024">
      <w:pPr>
        <w:pStyle w:val="p"/>
      </w:pPr>
      <w:r w:rsidRPr="0030192A">
        <w:rPr>
          <w:rStyle w:val="FootnoteReference"/>
        </w:rPr>
        <w:t xml:space="preserve"> </w:t>
      </w:r>
      <w:r>
        <w:rPr>
          <w:vertAlign w:val="superscript"/>
        </w:rPr>
        <w:t>101</w:t>
      </w:r>
      <w:r>
        <w:t xml:space="preserve"> S.6</w:t>
      </w:r>
      <w:r w:rsidR="00C33848">
        <w:t>,</w:t>
      </w:r>
      <w:r>
        <w:t xml:space="preserve"> </w:t>
      </w:r>
      <w:bookmarkStart w:id="4" w:name="_Hlk119601976"/>
      <w:r>
        <w:t>Part I</w:t>
      </w:r>
      <w:r w:rsidR="00C33848">
        <w:t>, Third Schedule ITA, Cap 340 of 1997.</w:t>
      </w:r>
      <w:bookmarkEnd w:id="4"/>
    </w:p>
    <w:p w14:paraId="7AF0E030" w14:textId="77777777" w:rsidR="00000000" w:rsidRDefault="005C1232">
      <w:pPr>
        <w:pStyle w:val="p"/>
      </w:pPr>
    </w:p>
  </w:footnote>
  <w:footnote w:id="103">
    <w:p w14:paraId="05D57E3D" w14:textId="77777777" w:rsidR="00431024" w:rsidRDefault="00431024">
      <w:pPr>
        <w:pStyle w:val="p"/>
      </w:pPr>
      <w:r w:rsidRPr="0030192A">
        <w:rPr>
          <w:rStyle w:val="FootnoteReference"/>
        </w:rPr>
        <w:t xml:space="preserve"> </w:t>
      </w:r>
      <w:r>
        <w:rPr>
          <w:vertAlign w:val="superscript"/>
        </w:rPr>
        <w:t>102</w:t>
      </w:r>
      <w:r>
        <w:t xml:space="preserve"> S.6 </w:t>
      </w:r>
      <w:r w:rsidR="00C33848">
        <w:t>Part I, Third Schedule</w:t>
      </w:r>
      <w:r w:rsidR="00C80B51">
        <w:t xml:space="preserve"> </w:t>
      </w:r>
      <w:r w:rsidR="00C33848">
        <w:t>ITA, Cap 340 of 1997.</w:t>
      </w:r>
    </w:p>
    <w:p w14:paraId="6A5893BE" w14:textId="77777777" w:rsidR="00000000" w:rsidRDefault="005C1232">
      <w:pPr>
        <w:pStyle w:val="p"/>
      </w:pPr>
    </w:p>
  </w:footnote>
  <w:footnote w:id="104">
    <w:p w14:paraId="6328D8F5" w14:textId="77777777" w:rsidR="00431024" w:rsidRDefault="00431024">
      <w:pPr>
        <w:pStyle w:val="p"/>
      </w:pPr>
      <w:r w:rsidRPr="0030192A">
        <w:rPr>
          <w:rStyle w:val="FootnoteReference"/>
        </w:rPr>
        <w:t xml:space="preserve"> </w:t>
      </w:r>
      <w:r>
        <w:rPr>
          <w:vertAlign w:val="superscript"/>
        </w:rPr>
        <w:t>103</w:t>
      </w:r>
      <w:r>
        <w:t xml:space="preserve"> S.111 (4) ITA, Cap. 340</w:t>
      </w:r>
      <w:r w:rsidR="00C33848">
        <w:t xml:space="preserve"> of 1997</w:t>
      </w:r>
      <w:r>
        <w:t>; S.16 TPCA</w:t>
      </w:r>
      <w:r w:rsidR="00C33848">
        <w:t>, 2014</w:t>
      </w:r>
      <w:r>
        <w:t>.</w:t>
      </w:r>
    </w:p>
    <w:p w14:paraId="31180F4A" w14:textId="77777777" w:rsidR="00000000" w:rsidRDefault="005C1232">
      <w:pPr>
        <w:pStyle w:val="p"/>
      </w:pPr>
    </w:p>
  </w:footnote>
  <w:footnote w:id="105">
    <w:p w14:paraId="030F4D06" w14:textId="77777777" w:rsidR="00431024" w:rsidRDefault="00431024">
      <w:pPr>
        <w:pStyle w:val="p"/>
      </w:pPr>
      <w:r w:rsidRPr="0030192A">
        <w:rPr>
          <w:rStyle w:val="FootnoteReference"/>
        </w:rPr>
        <w:t xml:space="preserve"> </w:t>
      </w:r>
      <w:r>
        <w:rPr>
          <w:vertAlign w:val="superscript"/>
        </w:rPr>
        <w:t>104</w:t>
      </w:r>
      <w:r>
        <w:t xml:space="preserve"> Ss.92</w:t>
      </w:r>
      <w:r w:rsidR="00C33848">
        <w:t>A (</w:t>
      </w:r>
      <w:r>
        <w:t>1), 93A IT</w:t>
      </w:r>
      <w:r w:rsidR="00C80B51">
        <w:t>A, Cap. 340 of 1997.</w:t>
      </w:r>
    </w:p>
    <w:p w14:paraId="7D0A8910" w14:textId="77777777" w:rsidR="00000000" w:rsidRDefault="005C1232">
      <w:pPr>
        <w:pStyle w:val="p"/>
      </w:pPr>
    </w:p>
  </w:footnote>
  <w:footnote w:id="106">
    <w:p w14:paraId="18391943" w14:textId="77777777" w:rsidR="00431024" w:rsidRDefault="00431024">
      <w:pPr>
        <w:pStyle w:val="p"/>
      </w:pPr>
      <w:r w:rsidRPr="0030192A">
        <w:rPr>
          <w:rStyle w:val="FootnoteReference"/>
        </w:rPr>
        <w:t xml:space="preserve"> </w:t>
      </w:r>
      <w:r>
        <w:rPr>
          <w:vertAlign w:val="superscript"/>
        </w:rPr>
        <w:t>105</w:t>
      </w:r>
      <w:r>
        <w:t xml:space="preserve"> S.116; The Income Tax (Withholding Tax) Regulations 2000.</w:t>
      </w:r>
    </w:p>
    <w:p w14:paraId="618ADFDA" w14:textId="77777777" w:rsidR="00000000" w:rsidRDefault="005C1232">
      <w:pPr>
        <w:pStyle w:val="p"/>
      </w:pPr>
    </w:p>
  </w:footnote>
  <w:footnote w:id="107">
    <w:p w14:paraId="27BA9719" w14:textId="77777777" w:rsidR="00431024" w:rsidRDefault="00431024">
      <w:pPr>
        <w:pStyle w:val="p"/>
      </w:pPr>
      <w:r w:rsidRPr="0030192A">
        <w:rPr>
          <w:rStyle w:val="FootnoteReference"/>
        </w:rPr>
        <w:t xml:space="preserve"> </w:t>
      </w:r>
      <w:r>
        <w:rPr>
          <w:vertAlign w:val="superscript"/>
        </w:rPr>
        <w:t>106</w:t>
      </w:r>
      <w:r>
        <w:t xml:space="preserve"> Ss.83, 87, 11</w:t>
      </w:r>
      <w:r w:rsidR="00C33848">
        <w:t>8, Parts IV and V</w:t>
      </w:r>
      <w:r w:rsidR="00036D7E">
        <w:t>, Third Schedule</w:t>
      </w:r>
      <w:r>
        <w:t xml:space="preserve"> ITA, Cap. 340</w:t>
      </w:r>
      <w:r w:rsidR="00C33848">
        <w:t xml:space="preserve"> of 199</w:t>
      </w:r>
      <w:r w:rsidR="00036D7E">
        <w:t>7.</w:t>
      </w:r>
    </w:p>
    <w:p w14:paraId="3C4358F3" w14:textId="77777777" w:rsidR="00000000" w:rsidRDefault="005C1232">
      <w:pPr>
        <w:pStyle w:val="p"/>
      </w:pPr>
    </w:p>
  </w:footnote>
  <w:footnote w:id="108">
    <w:p w14:paraId="7EB824F6" w14:textId="77777777" w:rsidR="00431024" w:rsidRDefault="00431024">
      <w:pPr>
        <w:pStyle w:val="p"/>
      </w:pPr>
      <w:r w:rsidRPr="0030192A">
        <w:rPr>
          <w:rStyle w:val="FootnoteReference"/>
        </w:rPr>
        <w:t xml:space="preserve"> </w:t>
      </w:r>
      <w:r>
        <w:rPr>
          <w:vertAlign w:val="superscript"/>
        </w:rPr>
        <w:t>107</w:t>
      </w:r>
      <w:r>
        <w:t xml:space="preserve"> S.118, </w:t>
      </w:r>
      <w:r w:rsidR="00036D7E">
        <w:t xml:space="preserve">Part V, Third Schedule </w:t>
      </w:r>
      <w:r>
        <w:t>ITA, Cap. 340</w:t>
      </w:r>
      <w:r w:rsidR="00036D7E">
        <w:t xml:space="preserve"> of 1997.</w:t>
      </w:r>
    </w:p>
    <w:p w14:paraId="796EE487" w14:textId="77777777" w:rsidR="00000000" w:rsidRDefault="005C1232">
      <w:pPr>
        <w:pStyle w:val="p"/>
      </w:pPr>
    </w:p>
  </w:footnote>
  <w:footnote w:id="109">
    <w:p w14:paraId="2E42164A" w14:textId="77777777" w:rsidR="00431024" w:rsidRDefault="00431024">
      <w:pPr>
        <w:pStyle w:val="p"/>
      </w:pPr>
      <w:r w:rsidRPr="0030192A">
        <w:rPr>
          <w:rStyle w:val="FootnoteReference"/>
        </w:rPr>
        <w:t xml:space="preserve"> </w:t>
      </w:r>
      <w:r>
        <w:rPr>
          <w:vertAlign w:val="superscript"/>
        </w:rPr>
        <w:t>108</w:t>
      </w:r>
      <w:r>
        <w:t xml:space="preserve"> Ss.20, 81 ITA, Cap. 340</w:t>
      </w:r>
      <w:r w:rsidR="00036D7E">
        <w:t xml:space="preserve"> of 1997. </w:t>
      </w:r>
    </w:p>
    <w:p w14:paraId="385DE97A" w14:textId="77777777" w:rsidR="00000000" w:rsidRDefault="005C1232">
      <w:pPr>
        <w:pStyle w:val="p"/>
      </w:pPr>
    </w:p>
  </w:footnote>
  <w:footnote w:id="110">
    <w:p w14:paraId="05D2C9F0" w14:textId="77777777" w:rsidR="00431024" w:rsidRDefault="00431024">
      <w:pPr>
        <w:pStyle w:val="p"/>
      </w:pPr>
      <w:r w:rsidRPr="0030192A">
        <w:rPr>
          <w:rStyle w:val="FootnoteReference"/>
        </w:rPr>
        <w:t xml:space="preserve"> </w:t>
      </w:r>
      <w:r>
        <w:rPr>
          <w:vertAlign w:val="superscript"/>
        </w:rPr>
        <w:t>109</w:t>
      </w:r>
      <w:r>
        <w:t xml:space="preserve"> S.117</w:t>
      </w:r>
      <w:r w:rsidR="00036D7E">
        <w:t xml:space="preserve">, Part V, Third Schedule </w:t>
      </w:r>
      <w:r>
        <w:t>ITA, Cap. 340</w:t>
      </w:r>
      <w:r w:rsidR="00036D7E">
        <w:t xml:space="preserve"> of 1997</w:t>
      </w:r>
      <w:r>
        <w:t>.</w:t>
      </w:r>
    </w:p>
    <w:p w14:paraId="02999CC9" w14:textId="77777777" w:rsidR="00000000" w:rsidRDefault="005C1232">
      <w:pPr>
        <w:pStyle w:val="p"/>
      </w:pPr>
    </w:p>
  </w:footnote>
  <w:footnote w:id="111">
    <w:p w14:paraId="5A207F05" w14:textId="77777777" w:rsidR="00431024" w:rsidRDefault="00431024">
      <w:pPr>
        <w:pStyle w:val="p"/>
      </w:pPr>
      <w:r w:rsidRPr="0030192A">
        <w:rPr>
          <w:rStyle w:val="FootnoteReference"/>
        </w:rPr>
        <w:t xml:space="preserve"> </w:t>
      </w:r>
      <w:r>
        <w:rPr>
          <w:vertAlign w:val="superscript"/>
        </w:rPr>
        <w:t>110</w:t>
      </w:r>
      <w:r>
        <w:t xml:space="preserve"> Ss.83, 87 </w:t>
      </w:r>
      <w:r w:rsidR="00036D7E">
        <w:t>Part IV, Third Schedule</w:t>
      </w:r>
      <w:r w:rsidR="00C80B51">
        <w:t xml:space="preserve"> </w:t>
      </w:r>
      <w:r>
        <w:t>ITA, Cap. 340</w:t>
      </w:r>
      <w:r w:rsidR="00036D7E">
        <w:t xml:space="preserve"> of 1997.</w:t>
      </w:r>
    </w:p>
    <w:p w14:paraId="2BB5BEE8" w14:textId="77777777" w:rsidR="00000000" w:rsidRDefault="005C1232">
      <w:pPr>
        <w:pStyle w:val="p"/>
      </w:pPr>
    </w:p>
  </w:footnote>
  <w:footnote w:id="112">
    <w:p w14:paraId="76699DD3" w14:textId="77777777" w:rsidR="00431024" w:rsidRDefault="00431024">
      <w:pPr>
        <w:pStyle w:val="p"/>
      </w:pPr>
      <w:r w:rsidRPr="0030192A">
        <w:rPr>
          <w:rStyle w:val="FootnoteReference"/>
        </w:rPr>
        <w:t xml:space="preserve"> </w:t>
      </w:r>
      <w:r>
        <w:rPr>
          <w:vertAlign w:val="superscript"/>
        </w:rPr>
        <w:t>111</w:t>
      </w:r>
      <w:r>
        <w:t xml:space="preserve"> S.81 ITA, Cap. 340</w:t>
      </w:r>
      <w:r w:rsidR="00036D7E">
        <w:t xml:space="preserve"> of 1997. </w:t>
      </w:r>
    </w:p>
    <w:p w14:paraId="4CD895CC" w14:textId="77777777" w:rsidR="00000000" w:rsidRDefault="005C1232">
      <w:pPr>
        <w:pStyle w:val="p"/>
      </w:pPr>
    </w:p>
  </w:footnote>
  <w:footnote w:id="113">
    <w:p w14:paraId="2BF78D8D" w14:textId="77777777" w:rsidR="00431024" w:rsidRDefault="00431024">
      <w:pPr>
        <w:pStyle w:val="p"/>
      </w:pPr>
      <w:r w:rsidRPr="0030192A">
        <w:rPr>
          <w:rStyle w:val="FootnoteReference"/>
        </w:rPr>
        <w:t xml:space="preserve"> </w:t>
      </w:r>
      <w:r>
        <w:rPr>
          <w:vertAlign w:val="superscript"/>
        </w:rPr>
        <w:t>112</w:t>
      </w:r>
      <w:r>
        <w:t xml:space="preserve"> S.7 National Social Security Fund </w:t>
      </w:r>
      <w:r w:rsidR="00C85AFC">
        <w:t xml:space="preserve">(Amendment) </w:t>
      </w:r>
      <w:r>
        <w:t xml:space="preserve">Act, </w:t>
      </w:r>
      <w:r w:rsidR="00C85AFC">
        <w:t>2021</w:t>
      </w:r>
      <w:r>
        <w:t>.</w:t>
      </w:r>
    </w:p>
    <w:p w14:paraId="52FE16EA" w14:textId="77777777" w:rsidR="00000000" w:rsidRDefault="005C1232">
      <w:pPr>
        <w:pStyle w:val="p"/>
      </w:pPr>
    </w:p>
  </w:footnote>
  <w:footnote w:id="114">
    <w:p w14:paraId="78C1EDCA" w14:textId="77777777" w:rsidR="00431024" w:rsidRDefault="00431024">
      <w:pPr>
        <w:pStyle w:val="p"/>
      </w:pPr>
      <w:r w:rsidRPr="0030192A">
        <w:rPr>
          <w:rStyle w:val="FootnoteReference"/>
        </w:rPr>
        <w:t xml:space="preserve"> </w:t>
      </w:r>
      <w:r>
        <w:rPr>
          <w:vertAlign w:val="superscript"/>
        </w:rPr>
        <w:t>113</w:t>
      </w:r>
      <w:r>
        <w:t xml:space="preserve"> S.11 National Social Security Fund Act, 1985.</w:t>
      </w:r>
    </w:p>
    <w:p w14:paraId="42CC55F8" w14:textId="77777777" w:rsidR="00000000" w:rsidRDefault="005C1232">
      <w:pPr>
        <w:pStyle w:val="p"/>
      </w:pPr>
    </w:p>
  </w:footnote>
  <w:footnote w:id="115">
    <w:p w14:paraId="340AE10A" w14:textId="77777777" w:rsidR="00431024" w:rsidRDefault="00431024">
      <w:pPr>
        <w:pStyle w:val="p"/>
      </w:pPr>
      <w:r w:rsidRPr="0030192A">
        <w:rPr>
          <w:rStyle w:val="FootnoteReference"/>
        </w:rPr>
        <w:t xml:space="preserve"> </w:t>
      </w:r>
      <w:r>
        <w:rPr>
          <w:vertAlign w:val="superscript"/>
        </w:rPr>
        <w:t>114</w:t>
      </w:r>
      <w:r>
        <w:t xml:space="preserve"> S.7 National Social Security Fund Act, 1985.</w:t>
      </w:r>
    </w:p>
    <w:p w14:paraId="2067FD39" w14:textId="77777777" w:rsidR="00000000" w:rsidRDefault="005C1232">
      <w:pPr>
        <w:pStyle w:val="p"/>
      </w:pPr>
    </w:p>
  </w:footnote>
  <w:footnote w:id="116">
    <w:p w14:paraId="506A3D36" w14:textId="77777777" w:rsidR="00431024" w:rsidRDefault="00431024">
      <w:pPr>
        <w:pStyle w:val="p"/>
      </w:pPr>
      <w:r w:rsidRPr="0030192A">
        <w:rPr>
          <w:rStyle w:val="FootnoteReference"/>
        </w:rPr>
        <w:t xml:space="preserve"> </w:t>
      </w:r>
      <w:r>
        <w:rPr>
          <w:vertAlign w:val="superscript"/>
        </w:rPr>
        <w:t>115</w:t>
      </w:r>
      <w:r>
        <w:t xml:space="preserve"> S.13A National Social Security Fund</w:t>
      </w:r>
      <w:r w:rsidR="00C85AFC">
        <w:t xml:space="preserve"> (Amendment)</w:t>
      </w:r>
      <w:r>
        <w:t xml:space="preserve"> Act, </w:t>
      </w:r>
      <w:r w:rsidR="00C85AFC">
        <w:t>2021.</w:t>
      </w:r>
    </w:p>
    <w:p w14:paraId="16BB21BA" w14:textId="77777777" w:rsidR="00000000" w:rsidRDefault="005C1232">
      <w:pPr>
        <w:pStyle w:val="p"/>
      </w:pPr>
    </w:p>
  </w:footnote>
  <w:footnote w:id="117">
    <w:p w14:paraId="24099FA2" w14:textId="77777777" w:rsidR="00431024" w:rsidRDefault="00431024">
      <w:pPr>
        <w:pStyle w:val="p"/>
      </w:pPr>
      <w:r w:rsidRPr="0030192A">
        <w:rPr>
          <w:rStyle w:val="FootnoteReference"/>
        </w:rPr>
        <w:t xml:space="preserve"> </w:t>
      </w:r>
      <w:r>
        <w:rPr>
          <w:vertAlign w:val="superscript"/>
        </w:rPr>
        <w:t>116</w:t>
      </w:r>
      <w:r>
        <w:t xml:space="preserve"> S.20 ITA, Cap. 340; ITA, Cap. 340, Third Schedule Part I.</w:t>
      </w:r>
    </w:p>
    <w:p w14:paraId="203DD322" w14:textId="77777777" w:rsidR="00000000" w:rsidRDefault="005C1232">
      <w:pPr>
        <w:pStyle w:val="p"/>
      </w:pPr>
    </w:p>
  </w:footnote>
  <w:footnote w:id="118">
    <w:p w14:paraId="7ED98B8D" w14:textId="77777777" w:rsidR="00431024" w:rsidRDefault="00431024">
      <w:pPr>
        <w:pStyle w:val="p"/>
      </w:pPr>
      <w:r w:rsidRPr="0030192A">
        <w:rPr>
          <w:rStyle w:val="FootnoteReference"/>
        </w:rPr>
        <w:t xml:space="preserve"> </w:t>
      </w:r>
      <w:r>
        <w:rPr>
          <w:vertAlign w:val="superscript"/>
        </w:rPr>
        <w:t>117</w:t>
      </w:r>
      <w:r>
        <w:t xml:space="preserve"> Ss. 5, 6(2) </w:t>
      </w:r>
      <w:r w:rsidR="00655B53">
        <w:t xml:space="preserve">Part VI, Third Schedule </w:t>
      </w:r>
      <w:r>
        <w:t>IT</w:t>
      </w:r>
      <w:r w:rsidR="006A28AB">
        <w:t xml:space="preserve">A, as amended by Income Tax (Amendment) Act, 2022. </w:t>
      </w:r>
    </w:p>
    <w:p w14:paraId="7ACB9602" w14:textId="77777777" w:rsidR="00000000" w:rsidRDefault="005C1232">
      <w:pPr>
        <w:pStyle w:val="p"/>
      </w:pPr>
    </w:p>
  </w:footnote>
  <w:footnote w:id="119">
    <w:p w14:paraId="6F46B93E" w14:textId="77777777" w:rsidR="00431024" w:rsidRDefault="00431024">
      <w:pPr>
        <w:pStyle w:val="p"/>
      </w:pPr>
      <w:r w:rsidRPr="0030192A">
        <w:rPr>
          <w:rStyle w:val="FootnoteReference"/>
        </w:rPr>
        <w:t xml:space="preserve"> </w:t>
      </w:r>
      <w:r>
        <w:rPr>
          <w:vertAlign w:val="superscript"/>
        </w:rPr>
        <w:t>119</w:t>
      </w:r>
      <w:r>
        <w:t xml:space="preserve"> S.83</w:t>
      </w:r>
      <w:r w:rsidR="000A4CC2">
        <w:t>,</w:t>
      </w:r>
      <w:r>
        <w:t xml:space="preserve"> </w:t>
      </w:r>
      <w:r w:rsidR="000A4CC2">
        <w:t>Part IV Third Schedule</w:t>
      </w:r>
      <w:r w:rsidR="00C80B51">
        <w:t xml:space="preserve"> ITA,</w:t>
      </w:r>
      <w:r w:rsidR="000A4CC2">
        <w:t xml:space="preserve"> </w:t>
      </w:r>
      <w:r>
        <w:t>Cap. 340</w:t>
      </w:r>
      <w:r w:rsidR="000A4CC2">
        <w:t xml:space="preserve"> of 1997</w:t>
      </w:r>
      <w:r>
        <w:t>.</w:t>
      </w:r>
    </w:p>
    <w:p w14:paraId="073D7CBB" w14:textId="77777777" w:rsidR="00000000" w:rsidRDefault="005C1232">
      <w:pPr>
        <w:pStyle w:val="p"/>
      </w:pPr>
    </w:p>
  </w:footnote>
  <w:footnote w:id="120">
    <w:p w14:paraId="5CE6D97D" w14:textId="77777777" w:rsidR="00431024" w:rsidRDefault="00431024">
      <w:pPr>
        <w:pStyle w:val="p"/>
      </w:pPr>
      <w:r w:rsidRPr="0030192A">
        <w:rPr>
          <w:rStyle w:val="FootnoteReference"/>
        </w:rPr>
        <w:t xml:space="preserve"> </w:t>
      </w:r>
      <w:r>
        <w:rPr>
          <w:vertAlign w:val="superscript"/>
        </w:rPr>
        <w:t>120</w:t>
      </w:r>
      <w:r>
        <w:t xml:space="preserve"> S.83,</w:t>
      </w:r>
      <w:r w:rsidR="000A4CC2">
        <w:t xml:space="preserve"> Part IV, Third Schedule</w:t>
      </w:r>
      <w:r w:rsidR="00C80B51">
        <w:t xml:space="preserve"> ITA,</w:t>
      </w:r>
      <w:r>
        <w:t xml:space="preserve"> Cap. 340</w:t>
      </w:r>
      <w:r w:rsidR="000A4CC2">
        <w:t xml:space="preserve"> of 1997.</w:t>
      </w:r>
    </w:p>
    <w:p w14:paraId="1F327C29" w14:textId="77777777" w:rsidR="00000000" w:rsidRDefault="005C1232">
      <w:pPr>
        <w:pStyle w:val="p"/>
      </w:pPr>
    </w:p>
  </w:footnote>
  <w:footnote w:id="121">
    <w:p w14:paraId="6ED1EC03" w14:textId="77777777" w:rsidR="00431024" w:rsidRDefault="00431024">
      <w:pPr>
        <w:pStyle w:val="p"/>
      </w:pPr>
      <w:r w:rsidRPr="0030192A">
        <w:rPr>
          <w:rStyle w:val="FootnoteReference"/>
        </w:rPr>
        <w:t xml:space="preserve"> </w:t>
      </w:r>
      <w:r>
        <w:rPr>
          <w:vertAlign w:val="superscript"/>
        </w:rPr>
        <w:t>121</w:t>
      </w:r>
      <w:r>
        <w:t xml:space="preserve"> TP Regulations S.I. No.30 of 2011.</w:t>
      </w:r>
    </w:p>
    <w:p w14:paraId="065814FF" w14:textId="77777777" w:rsidR="00000000" w:rsidRDefault="005C1232">
      <w:pPr>
        <w:pStyle w:val="p"/>
      </w:pPr>
    </w:p>
  </w:footnote>
  <w:footnote w:id="122">
    <w:p w14:paraId="7C2A2F4F" w14:textId="77777777" w:rsidR="00431024" w:rsidRDefault="00431024">
      <w:pPr>
        <w:pStyle w:val="p"/>
      </w:pPr>
      <w:r w:rsidRPr="0030192A">
        <w:rPr>
          <w:rStyle w:val="FootnoteReference"/>
        </w:rPr>
        <w:t xml:space="preserve"> </w:t>
      </w:r>
      <w:r>
        <w:rPr>
          <w:vertAlign w:val="superscript"/>
        </w:rPr>
        <w:t>122</w:t>
      </w:r>
      <w:r>
        <w:t xml:space="preserve"> R.3 TP Regulations S.I. No.30 of 2011.</w:t>
      </w:r>
    </w:p>
    <w:p w14:paraId="7965DE22" w14:textId="77777777" w:rsidR="00000000" w:rsidRDefault="005C1232">
      <w:pPr>
        <w:pStyle w:val="p"/>
      </w:pPr>
    </w:p>
  </w:footnote>
  <w:footnote w:id="123">
    <w:p w14:paraId="5407C90B" w14:textId="77777777" w:rsidR="00431024" w:rsidRDefault="00431024">
      <w:pPr>
        <w:pStyle w:val="p"/>
      </w:pPr>
      <w:r w:rsidRPr="0030192A">
        <w:rPr>
          <w:rStyle w:val="FootnoteReference"/>
        </w:rPr>
        <w:t xml:space="preserve"> </w:t>
      </w:r>
      <w:r>
        <w:rPr>
          <w:vertAlign w:val="superscript"/>
        </w:rPr>
        <w:t>123</w:t>
      </w:r>
      <w:r>
        <w:t xml:space="preserve"> R.7 S.I. No.30 of 2011.</w:t>
      </w:r>
    </w:p>
    <w:p w14:paraId="49B88D3A" w14:textId="77777777" w:rsidR="00000000" w:rsidRDefault="005C1232">
      <w:pPr>
        <w:pStyle w:val="p"/>
      </w:pPr>
    </w:p>
  </w:footnote>
  <w:footnote w:id="124">
    <w:p w14:paraId="480EC8EE" w14:textId="77777777" w:rsidR="00431024" w:rsidRDefault="00431024">
      <w:pPr>
        <w:pStyle w:val="p"/>
      </w:pPr>
      <w:r w:rsidRPr="0030192A">
        <w:rPr>
          <w:rStyle w:val="FootnoteReference"/>
        </w:rPr>
        <w:t xml:space="preserve"> </w:t>
      </w:r>
      <w:r>
        <w:rPr>
          <w:vertAlign w:val="superscript"/>
        </w:rPr>
        <w:t>124</w:t>
      </w:r>
      <w:r>
        <w:t xml:space="preserve"> R.7</w:t>
      </w:r>
      <w:r w:rsidR="002630D8">
        <w:t>(5)</w:t>
      </w:r>
      <w:r>
        <w:t xml:space="preserve"> S.I. No.30 of 2011.</w:t>
      </w:r>
    </w:p>
    <w:p w14:paraId="7A3F2AA6" w14:textId="77777777" w:rsidR="00000000" w:rsidRDefault="005C1232">
      <w:pPr>
        <w:pStyle w:val="p"/>
      </w:pPr>
    </w:p>
  </w:footnote>
  <w:footnote w:id="125">
    <w:p w14:paraId="64541A7D" w14:textId="77777777" w:rsidR="00000000" w:rsidRDefault="006173E3">
      <w:pPr>
        <w:pStyle w:val="FootnoteText"/>
      </w:pPr>
      <w:r>
        <w:rPr>
          <w:rStyle w:val="FootnoteReference"/>
        </w:rPr>
        <w:footnoteRef/>
      </w:r>
      <w:r>
        <w:t xml:space="preserve"> R.7(6) S.I. No.30 of 2011. </w:t>
      </w:r>
    </w:p>
  </w:footnote>
  <w:footnote w:id="126">
    <w:p w14:paraId="098914BD" w14:textId="77777777" w:rsidR="00431024" w:rsidRDefault="00431024">
      <w:pPr>
        <w:pStyle w:val="p"/>
      </w:pPr>
      <w:r w:rsidRPr="0030192A">
        <w:rPr>
          <w:rStyle w:val="FootnoteReference"/>
        </w:rPr>
        <w:t xml:space="preserve"> </w:t>
      </w:r>
      <w:r>
        <w:rPr>
          <w:vertAlign w:val="superscript"/>
        </w:rPr>
        <w:t>125</w:t>
      </w:r>
      <w:r>
        <w:t xml:space="preserve"> S.49A ITA, Cap. 340</w:t>
      </w:r>
      <w:r w:rsidR="006C16C4">
        <w:t xml:space="preserve"> of 1997</w:t>
      </w:r>
      <w:r>
        <w:t>.</w:t>
      </w:r>
    </w:p>
    <w:p w14:paraId="6AED5CA4" w14:textId="77777777" w:rsidR="00000000" w:rsidRDefault="005C1232">
      <w:pPr>
        <w:pStyle w:val="p"/>
      </w:pPr>
    </w:p>
  </w:footnote>
  <w:footnote w:id="127">
    <w:p w14:paraId="2F07F272" w14:textId="77777777" w:rsidR="00431024" w:rsidRDefault="00431024">
      <w:pPr>
        <w:pStyle w:val="p"/>
      </w:pPr>
      <w:r w:rsidRPr="0030192A">
        <w:rPr>
          <w:rStyle w:val="FootnoteReference"/>
        </w:rPr>
        <w:t xml:space="preserve"> </w:t>
      </w:r>
      <w:r>
        <w:rPr>
          <w:vertAlign w:val="superscript"/>
        </w:rPr>
        <w:t>126</w:t>
      </w:r>
      <w:r>
        <w:t xml:space="preserve"> R.9 TP Regulations S.I. No.30 of 2011.</w:t>
      </w:r>
    </w:p>
    <w:p w14:paraId="5EECC46C" w14:textId="77777777" w:rsidR="00000000" w:rsidRDefault="005C1232">
      <w:pPr>
        <w:pStyle w:val="p"/>
      </w:pPr>
    </w:p>
  </w:footnote>
  <w:footnote w:id="128">
    <w:p w14:paraId="3C38483D" w14:textId="77777777" w:rsidR="00431024" w:rsidRDefault="00431024">
      <w:pPr>
        <w:pStyle w:val="p"/>
      </w:pPr>
      <w:r w:rsidRPr="0030192A">
        <w:rPr>
          <w:rStyle w:val="FootnoteReference"/>
        </w:rPr>
        <w:t xml:space="preserve"> </w:t>
      </w:r>
      <w:r>
        <w:rPr>
          <w:vertAlign w:val="superscript"/>
        </w:rPr>
        <w:t>127</w:t>
      </w:r>
      <w:r>
        <w:t xml:space="preserve"> R.8 TP Regulations S.I. No.30 of 2011.</w:t>
      </w:r>
    </w:p>
    <w:p w14:paraId="5638204E" w14:textId="77777777" w:rsidR="00000000" w:rsidRDefault="005C1232">
      <w:pPr>
        <w:pStyle w:val="p"/>
      </w:pPr>
    </w:p>
  </w:footnote>
  <w:footnote w:id="129">
    <w:p w14:paraId="423C2980" w14:textId="77777777" w:rsidR="00431024" w:rsidRDefault="00431024">
      <w:pPr>
        <w:pStyle w:val="p"/>
      </w:pPr>
      <w:r w:rsidRPr="0030192A">
        <w:rPr>
          <w:rStyle w:val="FootnoteReference"/>
        </w:rPr>
        <w:t xml:space="preserve"> </w:t>
      </w:r>
      <w:r>
        <w:rPr>
          <w:vertAlign w:val="superscript"/>
        </w:rPr>
        <w:t>128</w:t>
      </w:r>
      <w:r>
        <w:t xml:space="preserve"> 2012 Practice Notes: Transfer Pricing Documentation to be Kept by Taxpayers.</w:t>
      </w:r>
    </w:p>
    <w:p w14:paraId="1910F330" w14:textId="77777777" w:rsidR="00000000" w:rsidRDefault="005C1232">
      <w:pPr>
        <w:pStyle w:val="p"/>
      </w:pPr>
    </w:p>
  </w:footnote>
  <w:footnote w:id="130">
    <w:p w14:paraId="3A4E2A31" w14:textId="77777777" w:rsidR="00431024" w:rsidRDefault="00431024">
      <w:pPr>
        <w:pStyle w:val="p"/>
      </w:pPr>
      <w:r w:rsidRPr="0030192A">
        <w:rPr>
          <w:rStyle w:val="FootnoteReference"/>
        </w:rPr>
        <w:t xml:space="preserve"> </w:t>
      </w:r>
      <w:r>
        <w:rPr>
          <w:vertAlign w:val="superscript"/>
        </w:rPr>
        <w:t>129</w:t>
      </w:r>
      <w:r>
        <w:t xml:space="preserve"> 2012 Practice Notes: Transfer Pricing Documentation to be Kept by Taxpayers.</w:t>
      </w:r>
    </w:p>
    <w:p w14:paraId="63B564A7" w14:textId="77777777" w:rsidR="00000000" w:rsidRDefault="005C1232">
      <w:pPr>
        <w:pStyle w:val="p"/>
      </w:pPr>
    </w:p>
  </w:footnote>
  <w:footnote w:id="131">
    <w:p w14:paraId="40E3461E" w14:textId="77777777" w:rsidR="00431024" w:rsidRDefault="00431024">
      <w:pPr>
        <w:pStyle w:val="p"/>
      </w:pPr>
      <w:r w:rsidRPr="0030192A">
        <w:rPr>
          <w:rStyle w:val="FootnoteReference"/>
        </w:rPr>
        <w:t xml:space="preserve"> </w:t>
      </w:r>
      <w:r>
        <w:rPr>
          <w:vertAlign w:val="superscript"/>
        </w:rPr>
        <w:t>130</w:t>
      </w:r>
      <w:r>
        <w:t xml:space="preserve"> S.49A(1) TPC</w:t>
      </w:r>
      <w:r w:rsidR="00ED1F2D">
        <w:t>A</w:t>
      </w:r>
      <w:r w:rsidR="0022718E">
        <w:t xml:space="preserve">. </w:t>
      </w:r>
    </w:p>
    <w:p w14:paraId="6A05B281" w14:textId="77777777" w:rsidR="00000000" w:rsidRDefault="005C1232">
      <w:pPr>
        <w:pStyle w:val="p"/>
      </w:pPr>
    </w:p>
  </w:footnote>
  <w:footnote w:id="132">
    <w:p w14:paraId="779DF53F" w14:textId="77777777" w:rsidR="00431024" w:rsidRDefault="00431024">
      <w:pPr>
        <w:pStyle w:val="p"/>
      </w:pPr>
      <w:r w:rsidRPr="0030192A">
        <w:rPr>
          <w:rStyle w:val="FootnoteReference"/>
        </w:rPr>
        <w:t xml:space="preserve"> </w:t>
      </w:r>
      <w:r>
        <w:rPr>
          <w:vertAlign w:val="superscript"/>
        </w:rPr>
        <w:t>131</w:t>
      </w:r>
      <w:r>
        <w:t xml:space="preserve"> Ss.90, 91 ITA, Cap. 340</w:t>
      </w:r>
      <w:r w:rsidR="00641FFB">
        <w:t xml:space="preserve"> of 1997. </w:t>
      </w:r>
    </w:p>
    <w:p w14:paraId="01D671CB" w14:textId="77777777" w:rsidR="00000000" w:rsidRDefault="005C1232">
      <w:pPr>
        <w:pStyle w:val="p"/>
      </w:pPr>
    </w:p>
  </w:footnote>
  <w:footnote w:id="133">
    <w:p w14:paraId="1AD82E9F" w14:textId="77777777" w:rsidR="00000000" w:rsidRDefault="009D45D4">
      <w:pPr>
        <w:pStyle w:val="FootnoteText"/>
      </w:pPr>
      <w:r>
        <w:rPr>
          <w:rStyle w:val="FootnoteReference"/>
        </w:rPr>
        <w:footnoteRef/>
      </w:r>
      <w:r>
        <w:t xml:space="preserve"> S.163A ITA, Cap. 340; ITA, Cap. 340, as inserted by Income Tax (Amendment) (No.2) Act, 2023, S.11.</w:t>
      </w:r>
    </w:p>
  </w:footnote>
  <w:footnote w:id="134">
    <w:p w14:paraId="7281543D" w14:textId="77777777" w:rsidR="00431024" w:rsidRDefault="00431024">
      <w:pPr>
        <w:pStyle w:val="p"/>
      </w:pPr>
      <w:r w:rsidRPr="0030192A">
        <w:rPr>
          <w:rStyle w:val="FootnoteReference"/>
        </w:rPr>
        <w:t xml:space="preserve"> </w:t>
      </w:r>
      <w:r>
        <w:rPr>
          <w:vertAlign w:val="superscript"/>
        </w:rPr>
        <w:t>132</w:t>
      </w:r>
      <w:r>
        <w:t xml:space="preserve"> S.25</w:t>
      </w:r>
      <w:r w:rsidR="00B15AED">
        <w:t>(4)</w:t>
      </w:r>
      <w:r>
        <w:t xml:space="preserve"> ITA, </w:t>
      </w:r>
      <w:bookmarkStart w:id="5" w:name="_Hlk146006291"/>
      <w:r>
        <w:t>Cap. 340</w:t>
      </w:r>
      <w:r w:rsidR="00641FFB">
        <w:t xml:space="preserve"> of 1997.</w:t>
      </w:r>
    </w:p>
    <w:bookmarkEnd w:id="5"/>
    <w:p w14:paraId="6689AE21" w14:textId="77777777" w:rsidR="00000000" w:rsidRDefault="005C1232">
      <w:pPr>
        <w:pStyle w:val="p"/>
      </w:pPr>
    </w:p>
  </w:footnote>
  <w:footnote w:id="135">
    <w:p w14:paraId="4AEA1F80" w14:textId="77777777" w:rsidR="00431024" w:rsidRDefault="00431024">
      <w:pPr>
        <w:pStyle w:val="p"/>
      </w:pPr>
      <w:r w:rsidRPr="0030192A">
        <w:rPr>
          <w:rStyle w:val="FootnoteReference"/>
        </w:rPr>
        <w:t xml:space="preserve"> </w:t>
      </w:r>
      <w:r>
        <w:rPr>
          <w:vertAlign w:val="superscript"/>
        </w:rPr>
        <w:t>133</w:t>
      </w:r>
      <w:r>
        <w:t xml:space="preserve"> S.89B, G</w:t>
      </w:r>
      <w:r w:rsidR="00641FFB">
        <w:t>, Part IX, Third Schedule</w:t>
      </w:r>
      <w:r>
        <w:t xml:space="preserve"> IT</w:t>
      </w:r>
      <w:r w:rsidR="009F69D3">
        <w:t xml:space="preserve">A. </w:t>
      </w:r>
    </w:p>
    <w:p w14:paraId="12C7407A" w14:textId="77777777" w:rsidR="00000000" w:rsidRDefault="005C1232">
      <w:pPr>
        <w:pStyle w:val="p"/>
      </w:pPr>
    </w:p>
  </w:footnote>
  <w:footnote w:id="136">
    <w:p w14:paraId="01014D09" w14:textId="77777777" w:rsidR="006C16C4" w:rsidRPr="006C16C4" w:rsidRDefault="00431024" w:rsidP="006C16C4">
      <w:pPr>
        <w:pStyle w:val="p"/>
      </w:pPr>
      <w:r w:rsidRPr="0030192A">
        <w:rPr>
          <w:rStyle w:val="FootnoteReference"/>
        </w:rPr>
        <w:t xml:space="preserve"> </w:t>
      </w:r>
      <w:r>
        <w:rPr>
          <w:vertAlign w:val="superscript"/>
        </w:rPr>
        <w:t>134</w:t>
      </w:r>
      <w:r>
        <w:t xml:space="preserve"> </w:t>
      </w:r>
      <w:r w:rsidR="00641FFB">
        <w:t>S.</w:t>
      </w:r>
      <w:r>
        <w:t>89C, G</w:t>
      </w:r>
      <w:r w:rsidR="00641FFB">
        <w:t xml:space="preserve">, </w:t>
      </w:r>
      <w:r>
        <w:t>IT</w:t>
      </w:r>
      <w:r w:rsidR="006C16C4">
        <w:t xml:space="preserve">A, </w:t>
      </w:r>
      <w:r w:rsidR="006C16C4" w:rsidRPr="006C16C4">
        <w:t>Cap. 340 of 1997.</w:t>
      </w:r>
    </w:p>
    <w:p w14:paraId="29F4F50A" w14:textId="77777777" w:rsidR="00431024" w:rsidRDefault="00431024">
      <w:pPr>
        <w:pStyle w:val="p"/>
      </w:pPr>
    </w:p>
    <w:p w14:paraId="35693EE6" w14:textId="77777777" w:rsidR="00000000" w:rsidRDefault="005C1232">
      <w:pPr>
        <w:pStyle w:val="p"/>
      </w:pPr>
    </w:p>
  </w:footnote>
  <w:footnote w:id="137">
    <w:p w14:paraId="219EE0B9" w14:textId="77777777" w:rsidR="006C16C4" w:rsidRPr="006C16C4" w:rsidRDefault="00431024" w:rsidP="006C16C4">
      <w:pPr>
        <w:pStyle w:val="p"/>
      </w:pPr>
      <w:r w:rsidRPr="0030192A">
        <w:rPr>
          <w:rStyle w:val="FootnoteReference"/>
        </w:rPr>
        <w:t xml:space="preserve"> </w:t>
      </w:r>
      <w:r>
        <w:rPr>
          <w:vertAlign w:val="superscript"/>
        </w:rPr>
        <w:t>135</w:t>
      </w:r>
      <w:r>
        <w:t xml:space="preserve"> </w:t>
      </w:r>
      <w:r w:rsidR="00641FFB">
        <w:t>S.</w:t>
      </w:r>
      <w:r>
        <w:t>89H (1) IT</w:t>
      </w:r>
      <w:r w:rsidR="00614222">
        <w:t>A</w:t>
      </w:r>
      <w:r w:rsidR="006C16C4">
        <w:t xml:space="preserve">, </w:t>
      </w:r>
      <w:r w:rsidR="006C16C4" w:rsidRPr="006C16C4">
        <w:t>Cap. 340 of 1997.</w:t>
      </w:r>
    </w:p>
    <w:p w14:paraId="671FEF39" w14:textId="77777777" w:rsidR="00431024" w:rsidRDefault="00431024">
      <w:pPr>
        <w:pStyle w:val="p"/>
      </w:pPr>
    </w:p>
    <w:p w14:paraId="4F294BA0" w14:textId="77777777" w:rsidR="00000000" w:rsidRDefault="005C1232">
      <w:pPr>
        <w:pStyle w:val="p"/>
      </w:pPr>
    </w:p>
  </w:footnote>
  <w:footnote w:id="138">
    <w:p w14:paraId="7E4724DE" w14:textId="77777777" w:rsidR="006C16C4" w:rsidRPr="006C16C4" w:rsidRDefault="00431024" w:rsidP="006C16C4">
      <w:pPr>
        <w:pStyle w:val="p"/>
      </w:pPr>
      <w:r w:rsidRPr="0030192A">
        <w:rPr>
          <w:rStyle w:val="FootnoteReference"/>
        </w:rPr>
        <w:t xml:space="preserve"> </w:t>
      </w:r>
      <w:r>
        <w:rPr>
          <w:vertAlign w:val="superscript"/>
        </w:rPr>
        <w:t>136</w:t>
      </w:r>
      <w:r>
        <w:t xml:space="preserve"> S.89GG</w:t>
      </w:r>
      <w:r w:rsidR="00641FFB">
        <w:t xml:space="preserve">, Part IX, Third Schedule </w:t>
      </w:r>
      <w:r>
        <w:t>I</w:t>
      </w:r>
      <w:r w:rsidR="00614222">
        <w:t>TA</w:t>
      </w:r>
      <w:r w:rsidR="006C16C4">
        <w:t xml:space="preserve">, </w:t>
      </w:r>
      <w:r w:rsidR="006C16C4" w:rsidRPr="006C16C4">
        <w:t>Cap. 340 of 1997.</w:t>
      </w:r>
    </w:p>
    <w:p w14:paraId="0A5E607F" w14:textId="77777777" w:rsidR="00431024" w:rsidRDefault="00431024">
      <w:pPr>
        <w:pStyle w:val="p"/>
      </w:pPr>
    </w:p>
    <w:p w14:paraId="61A8A7C0" w14:textId="77777777" w:rsidR="00000000" w:rsidRDefault="005C1232">
      <w:pPr>
        <w:pStyle w:val="p"/>
      </w:pPr>
    </w:p>
  </w:footnote>
  <w:footnote w:id="139">
    <w:p w14:paraId="1E3852C2" w14:textId="77777777" w:rsidR="006C16C4" w:rsidRPr="006C16C4" w:rsidRDefault="00431024" w:rsidP="006C16C4">
      <w:pPr>
        <w:pStyle w:val="p"/>
      </w:pPr>
      <w:r w:rsidRPr="0030192A">
        <w:rPr>
          <w:rStyle w:val="FootnoteReference"/>
        </w:rPr>
        <w:t xml:space="preserve"> </w:t>
      </w:r>
      <w:r>
        <w:rPr>
          <w:vertAlign w:val="superscript"/>
        </w:rPr>
        <w:t>137</w:t>
      </w:r>
      <w:r>
        <w:t xml:space="preserve"> S.89I IT</w:t>
      </w:r>
      <w:r w:rsidR="00614222">
        <w:t>A</w:t>
      </w:r>
      <w:r w:rsidR="006C16C4">
        <w:t xml:space="preserve">, </w:t>
      </w:r>
      <w:r w:rsidR="006C16C4" w:rsidRPr="006C16C4">
        <w:t>Cap. 340 of 1997.</w:t>
      </w:r>
    </w:p>
    <w:p w14:paraId="71CBA66E" w14:textId="77777777" w:rsidR="00000000" w:rsidRDefault="005C1232" w:rsidP="006C16C4">
      <w:pPr>
        <w:pStyle w:val="p"/>
      </w:pPr>
    </w:p>
  </w:footnote>
  <w:footnote w:id="140">
    <w:p w14:paraId="2CBCAE84" w14:textId="77777777" w:rsidR="00431024" w:rsidRDefault="00431024">
      <w:pPr>
        <w:pStyle w:val="p"/>
      </w:pPr>
      <w:r w:rsidRPr="0030192A">
        <w:rPr>
          <w:rStyle w:val="FootnoteReference"/>
        </w:rPr>
        <w:t xml:space="preserve"> </w:t>
      </w:r>
      <w:r>
        <w:rPr>
          <w:vertAlign w:val="superscript"/>
        </w:rPr>
        <w:t>138</w:t>
      </w:r>
      <w:r>
        <w:t xml:space="preserve"> Mining Act 2003 as amended by the Mining (Amendment) Act, 2021.</w:t>
      </w:r>
    </w:p>
    <w:p w14:paraId="5D7FCECD" w14:textId="77777777" w:rsidR="00000000" w:rsidRDefault="005C1232">
      <w:pPr>
        <w:pStyle w:val="p"/>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i1080" type="#_x0000_t75" style="width:10.5pt;height:10.5pt;visibility:visible" o:bullet="t">
        <v:imagedata r:id="rId1" o:title=""/>
      </v:shape>
    </w:pict>
  </w:numPicBullet>
  <w:abstractNum w:abstractNumId="0" w15:restartNumberingAfterBreak="0">
    <w:nsid w:val="0EC7252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E044E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4D65E1"/>
    <w:multiLevelType w:val="hybridMultilevel"/>
    <w:tmpl w:val="FFFFFFFF"/>
    <w:lvl w:ilvl="0" w:tplc="503A50E4">
      <w:start w:val="1"/>
      <w:numFmt w:val="bullet"/>
      <w:lvlText w:val=""/>
      <w:lvlPicBulletId w:val="0"/>
      <w:lvlJc w:val="left"/>
      <w:pPr>
        <w:tabs>
          <w:tab w:val="num" w:pos="870"/>
        </w:tabs>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 w15:restartNumberingAfterBreak="0">
    <w:nsid w:val="207026E2"/>
    <w:multiLevelType w:val="hybridMultilevel"/>
    <w:tmpl w:val="FFFFFFFF"/>
    <w:lvl w:ilvl="0" w:tplc="503A50E4">
      <w:start w:val="1"/>
      <w:numFmt w:val="bullet"/>
      <w:lvlText w:val=""/>
      <w:lvlPicBulletId w:val="0"/>
      <w:lvlJc w:val="left"/>
      <w:pPr>
        <w:tabs>
          <w:tab w:val="num" w:pos="720"/>
        </w:tabs>
        <w:ind w:left="720" w:hanging="360"/>
      </w:pPr>
      <w:rPr>
        <w:rFonts w:ascii="Symbol" w:hAnsi="Symbol" w:hint="default"/>
      </w:rPr>
    </w:lvl>
    <w:lvl w:ilvl="1" w:tplc="96969320" w:tentative="1">
      <w:start w:val="1"/>
      <w:numFmt w:val="bullet"/>
      <w:lvlText w:val=""/>
      <w:lvlJc w:val="left"/>
      <w:pPr>
        <w:tabs>
          <w:tab w:val="num" w:pos="1440"/>
        </w:tabs>
        <w:ind w:left="1440" w:hanging="360"/>
      </w:pPr>
      <w:rPr>
        <w:rFonts w:ascii="Symbol" w:hAnsi="Symbol" w:hint="default"/>
      </w:rPr>
    </w:lvl>
    <w:lvl w:ilvl="2" w:tplc="B992B0BE" w:tentative="1">
      <w:start w:val="1"/>
      <w:numFmt w:val="bullet"/>
      <w:lvlText w:val=""/>
      <w:lvlJc w:val="left"/>
      <w:pPr>
        <w:tabs>
          <w:tab w:val="num" w:pos="2160"/>
        </w:tabs>
        <w:ind w:left="2160" w:hanging="360"/>
      </w:pPr>
      <w:rPr>
        <w:rFonts w:ascii="Symbol" w:hAnsi="Symbol" w:hint="default"/>
      </w:rPr>
    </w:lvl>
    <w:lvl w:ilvl="3" w:tplc="123611D0" w:tentative="1">
      <w:start w:val="1"/>
      <w:numFmt w:val="bullet"/>
      <w:lvlText w:val=""/>
      <w:lvlJc w:val="left"/>
      <w:pPr>
        <w:tabs>
          <w:tab w:val="num" w:pos="2880"/>
        </w:tabs>
        <w:ind w:left="2880" w:hanging="360"/>
      </w:pPr>
      <w:rPr>
        <w:rFonts w:ascii="Symbol" w:hAnsi="Symbol" w:hint="default"/>
      </w:rPr>
    </w:lvl>
    <w:lvl w:ilvl="4" w:tplc="9BA0C7BA" w:tentative="1">
      <w:start w:val="1"/>
      <w:numFmt w:val="bullet"/>
      <w:lvlText w:val=""/>
      <w:lvlJc w:val="left"/>
      <w:pPr>
        <w:tabs>
          <w:tab w:val="num" w:pos="3600"/>
        </w:tabs>
        <w:ind w:left="3600" w:hanging="360"/>
      </w:pPr>
      <w:rPr>
        <w:rFonts w:ascii="Symbol" w:hAnsi="Symbol" w:hint="default"/>
      </w:rPr>
    </w:lvl>
    <w:lvl w:ilvl="5" w:tplc="9E7A2678" w:tentative="1">
      <w:start w:val="1"/>
      <w:numFmt w:val="bullet"/>
      <w:lvlText w:val=""/>
      <w:lvlJc w:val="left"/>
      <w:pPr>
        <w:tabs>
          <w:tab w:val="num" w:pos="4320"/>
        </w:tabs>
        <w:ind w:left="4320" w:hanging="360"/>
      </w:pPr>
      <w:rPr>
        <w:rFonts w:ascii="Symbol" w:hAnsi="Symbol" w:hint="default"/>
      </w:rPr>
    </w:lvl>
    <w:lvl w:ilvl="6" w:tplc="3B64BAC8" w:tentative="1">
      <w:start w:val="1"/>
      <w:numFmt w:val="bullet"/>
      <w:lvlText w:val=""/>
      <w:lvlJc w:val="left"/>
      <w:pPr>
        <w:tabs>
          <w:tab w:val="num" w:pos="5040"/>
        </w:tabs>
        <w:ind w:left="5040" w:hanging="360"/>
      </w:pPr>
      <w:rPr>
        <w:rFonts w:ascii="Symbol" w:hAnsi="Symbol" w:hint="default"/>
      </w:rPr>
    </w:lvl>
    <w:lvl w:ilvl="7" w:tplc="30F0CC0A" w:tentative="1">
      <w:start w:val="1"/>
      <w:numFmt w:val="bullet"/>
      <w:lvlText w:val=""/>
      <w:lvlJc w:val="left"/>
      <w:pPr>
        <w:tabs>
          <w:tab w:val="num" w:pos="5760"/>
        </w:tabs>
        <w:ind w:left="5760" w:hanging="360"/>
      </w:pPr>
      <w:rPr>
        <w:rFonts w:ascii="Symbol" w:hAnsi="Symbol" w:hint="default"/>
      </w:rPr>
    </w:lvl>
    <w:lvl w:ilvl="8" w:tplc="44608A9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1684ACF"/>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47382B"/>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7B6750"/>
    <w:multiLevelType w:val="hybridMultilevel"/>
    <w:tmpl w:val="FFFFFFFF"/>
    <w:lvl w:ilvl="0" w:tplc="BB88EF14">
      <w:start w:val="1"/>
      <w:numFmt w:val="bullet"/>
      <w:lvlText w:val=""/>
      <w:lvlPicBulletId w:val="0"/>
      <w:lvlJc w:val="left"/>
      <w:pPr>
        <w:tabs>
          <w:tab w:val="num" w:pos="720"/>
        </w:tabs>
        <w:ind w:left="720" w:hanging="360"/>
      </w:pPr>
      <w:rPr>
        <w:rFonts w:ascii="Symbol" w:hAnsi="Symbol" w:hint="default"/>
      </w:rPr>
    </w:lvl>
    <w:lvl w:ilvl="1" w:tplc="878EE328" w:tentative="1">
      <w:start w:val="1"/>
      <w:numFmt w:val="bullet"/>
      <w:lvlText w:val=""/>
      <w:lvlJc w:val="left"/>
      <w:pPr>
        <w:tabs>
          <w:tab w:val="num" w:pos="1440"/>
        </w:tabs>
        <w:ind w:left="1440" w:hanging="360"/>
      </w:pPr>
      <w:rPr>
        <w:rFonts w:ascii="Symbol" w:hAnsi="Symbol" w:hint="default"/>
      </w:rPr>
    </w:lvl>
    <w:lvl w:ilvl="2" w:tplc="150E2714" w:tentative="1">
      <w:start w:val="1"/>
      <w:numFmt w:val="bullet"/>
      <w:lvlText w:val=""/>
      <w:lvlJc w:val="left"/>
      <w:pPr>
        <w:tabs>
          <w:tab w:val="num" w:pos="2160"/>
        </w:tabs>
        <w:ind w:left="2160" w:hanging="360"/>
      </w:pPr>
      <w:rPr>
        <w:rFonts w:ascii="Symbol" w:hAnsi="Symbol" w:hint="default"/>
      </w:rPr>
    </w:lvl>
    <w:lvl w:ilvl="3" w:tplc="A72839F2" w:tentative="1">
      <w:start w:val="1"/>
      <w:numFmt w:val="bullet"/>
      <w:lvlText w:val=""/>
      <w:lvlJc w:val="left"/>
      <w:pPr>
        <w:tabs>
          <w:tab w:val="num" w:pos="2880"/>
        </w:tabs>
        <w:ind w:left="2880" w:hanging="360"/>
      </w:pPr>
      <w:rPr>
        <w:rFonts w:ascii="Symbol" w:hAnsi="Symbol" w:hint="default"/>
      </w:rPr>
    </w:lvl>
    <w:lvl w:ilvl="4" w:tplc="78DC21C2" w:tentative="1">
      <w:start w:val="1"/>
      <w:numFmt w:val="bullet"/>
      <w:lvlText w:val=""/>
      <w:lvlJc w:val="left"/>
      <w:pPr>
        <w:tabs>
          <w:tab w:val="num" w:pos="3600"/>
        </w:tabs>
        <w:ind w:left="3600" w:hanging="360"/>
      </w:pPr>
      <w:rPr>
        <w:rFonts w:ascii="Symbol" w:hAnsi="Symbol" w:hint="default"/>
      </w:rPr>
    </w:lvl>
    <w:lvl w:ilvl="5" w:tplc="84369390" w:tentative="1">
      <w:start w:val="1"/>
      <w:numFmt w:val="bullet"/>
      <w:lvlText w:val=""/>
      <w:lvlJc w:val="left"/>
      <w:pPr>
        <w:tabs>
          <w:tab w:val="num" w:pos="4320"/>
        </w:tabs>
        <w:ind w:left="4320" w:hanging="360"/>
      </w:pPr>
      <w:rPr>
        <w:rFonts w:ascii="Symbol" w:hAnsi="Symbol" w:hint="default"/>
      </w:rPr>
    </w:lvl>
    <w:lvl w:ilvl="6" w:tplc="5ED81F5E" w:tentative="1">
      <w:start w:val="1"/>
      <w:numFmt w:val="bullet"/>
      <w:lvlText w:val=""/>
      <w:lvlJc w:val="left"/>
      <w:pPr>
        <w:tabs>
          <w:tab w:val="num" w:pos="5040"/>
        </w:tabs>
        <w:ind w:left="5040" w:hanging="360"/>
      </w:pPr>
      <w:rPr>
        <w:rFonts w:ascii="Symbol" w:hAnsi="Symbol" w:hint="default"/>
      </w:rPr>
    </w:lvl>
    <w:lvl w:ilvl="7" w:tplc="BA06F02C" w:tentative="1">
      <w:start w:val="1"/>
      <w:numFmt w:val="bullet"/>
      <w:lvlText w:val=""/>
      <w:lvlJc w:val="left"/>
      <w:pPr>
        <w:tabs>
          <w:tab w:val="num" w:pos="5760"/>
        </w:tabs>
        <w:ind w:left="5760" w:hanging="360"/>
      </w:pPr>
      <w:rPr>
        <w:rFonts w:ascii="Symbol" w:hAnsi="Symbol" w:hint="default"/>
      </w:rPr>
    </w:lvl>
    <w:lvl w:ilvl="8" w:tplc="923C898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B1408BA"/>
    <w:multiLevelType w:val="hybridMultilevel"/>
    <w:tmpl w:val="FFFFFFFF"/>
    <w:lvl w:ilvl="0" w:tplc="1116FED8">
      <w:start w:val="1"/>
      <w:numFmt w:val="bullet"/>
      <w:lvlText w:val=""/>
      <w:lvlPicBulletId w:val="0"/>
      <w:lvlJc w:val="left"/>
      <w:pPr>
        <w:tabs>
          <w:tab w:val="num" w:pos="720"/>
        </w:tabs>
        <w:ind w:left="720" w:hanging="360"/>
      </w:pPr>
      <w:rPr>
        <w:rFonts w:ascii="Symbol" w:hAnsi="Symbol" w:hint="default"/>
      </w:rPr>
    </w:lvl>
    <w:lvl w:ilvl="1" w:tplc="47C24900" w:tentative="1">
      <w:start w:val="1"/>
      <w:numFmt w:val="bullet"/>
      <w:lvlText w:val=""/>
      <w:lvlJc w:val="left"/>
      <w:pPr>
        <w:tabs>
          <w:tab w:val="num" w:pos="1440"/>
        </w:tabs>
        <w:ind w:left="1440" w:hanging="360"/>
      </w:pPr>
      <w:rPr>
        <w:rFonts w:ascii="Symbol" w:hAnsi="Symbol" w:hint="default"/>
      </w:rPr>
    </w:lvl>
    <w:lvl w:ilvl="2" w:tplc="09D218AE" w:tentative="1">
      <w:start w:val="1"/>
      <w:numFmt w:val="bullet"/>
      <w:lvlText w:val=""/>
      <w:lvlJc w:val="left"/>
      <w:pPr>
        <w:tabs>
          <w:tab w:val="num" w:pos="2160"/>
        </w:tabs>
        <w:ind w:left="2160" w:hanging="360"/>
      </w:pPr>
      <w:rPr>
        <w:rFonts w:ascii="Symbol" w:hAnsi="Symbol" w:hint="default"/>
      </w:rPr>
    </w:lvl>
    <w:lvl w:ilvl="3" w:tplc="160AEB08" w:tentative="1">
      <w:start w:val="1"/>
      <w:numFmt w:val="bullet"/>
      <w:lvlText w:val=""/>
      <w:lvlJc w:val="left"/>
      <w:pPr>
        <w:tabs>
          <w:tab w:val="num" w:pos="2880"/>
        </w:tabs>
        <w:ind w:left="2880" w:hanging="360"/>
      </w:pPr>
      <w:rPr>
        <w:rFonts w:ascii="Symbol" w:hAnsi="Symbol" w:hint="default"/>
      </w:rPr>
    </w:lvl>
    <w:lvl w:ilvl="4" w:tplc="48C2A044" w:tentative="1">
      <w:start w:val="1"/>
      <w:numFmt w:val="bullet"/>
      <w:lvlText w:val=""/>
      <w:lvlJc w:val="left"/>
      <w:pPr>
        <w:tabs>
          <w:tab w:val="num" w:pos="3600"/>
        </w:tabs>
        <w:ind w:left="3600" w:hanging="360"/>
      </w:pPr>
      <w:rPr>
        <w:rFonts w:ascii="Symbol" w:hAnsi="Symbol" w:hint="default"/>
      </w:rPr>
    </w:lvl>
    <w:lvl w:ilvl="5" w:tplc="E7AE7DD0" w:tentative="1">
      <w:start w:val="1"/>
      <w:numFmt w:val="bullet"/>
      <w:lvlText w:val=""/>
      <w:lvlJc w:val="left"/>
      <w:pPr>
        <w:tabs>
          <w:tab w:val="num" w:pos="4320"/>
        </w:tabs>
        <w:ind w:left="4320" w:hanging="360"/>
      </w:pPr>
      <w:rPr>
        <w:rFonts w:ascii="Symbol" w:hAnsi="Symbol" w:hint="default"/>
      </w:rPr>
    </w:lvl>
    <w:lvl w:ilvl="6" w:tplc="29FAE2DC" w:tentative="1">
      <w:start w:val="1"/>
      <w:numFmt w:val="bullet"/>
      <w:lvlText w:val=""/>
      <w:lvlJc w:val="left"/>
      <w:pPr>
        <w:tabs>
          <w:tab w:val="num" w:pos="5040"/>
        </w:tabs>
        <w:ind w:left="5040" w:hanging="360"/>
      </w:pPr>
      <w:rPr>
        <w:rFonts w:ascii="Symbol" w:hAnsi="Symbol" w:hint="default"/>
      </w:rPr>
    </w:lvl>
    <w:lvl w:ilvl="7" w:tplc="8D02EBBC" w:tentative="1">
      <w:start w:val="1"/>
      <w:numFmt w:val="bullet"/>
      <w:lvlText w:val=""/>
      <w:lvlJc w:val="left"/>
      <w:pPr>
        <w:tabs>
          <w:tab w:val="num" w:pos="5760"/>
        </w:tabs>
        <w:ind w:left="5760" w:hanging="360"/>
      </w:pPr>
      <w:rPr>
        <w:rFonts w:ascii="Symbol" w:hAnsi="Symbol" w:hint="default"/>
      </w:rPr>
    </w:lvl>
    <w:lvl w:ilvl="8" w:tplc="0DDE60F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71B873FC"/>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CA64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9932604">
    <w:abstractNumId w:val="3"/>
  </w:num>
  <w:num w:numId="2" w16cid:durableId="524948619">
    <w:abstractNumId w:val="2"/>
  </w:num>
  <w:num w:numId="3" w16cid:durableId="1028794240">
    <w:abstractNumId w:val="7"/>
  </w:num>
  <w:num w:numId="4" w16cid:durableId="382606994">
    <w:abstractNumId w:val="6"/>
  </w:num>
  <w:num w:numId="5" w16cid:durableId="1802962264">
    <w:abstractNumId w:val="4"/>
  </w:num>
  <w:num w:numId="6" w16cid:durableId="577404887">
    <w:abstractNumId w:val="8"/>
  </w:num>
  <w:num w:numId="7" w16cid:durableId="701201687">
    <w:abstractNumId w:val="0"/>
  </w:num>
  <w:num w:numId="8" w16cid:durableId="902760633">
    <w:abstractNumId w:val="5"/>
  </w:num>
  <w:num w:numId="9" w16cid:durableId="1063680138">
    <w:abstractNumId w:val="9"/>
  </w:num>
  <w:num w:numId="10" w16cid:durableId="3282915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defaultTabStop w:val="720"/>
  <w:characterSpacingControl w:val="doNotCompress"/>
  <w:footnotePr>
    <w:footnote w:id="-1"/>
    <w:footnote w:id="0"/>
  </w:footnotePr>
  <w:endnotePr>
    <w:endnote w:id="-1"/>
    <w:endnote w:id="0"/>
  </w:endnotePr>
  <w:compat>
    <w:forgetLastTabAlignment/>
    <w:doNotUseHTMLParagraphAutoSpacing/>
    <w:selectFldWithFirstOrLastChar/>
    <w:useFELayout/>
    <w:allowSpaceOfSameStyleInTable/>
    <w:compatSetting w:name="compatibilityMode" w:uri="http://schemas.microsoft.com/office/word" w:val="12"/>
    <w:compatSetting w:name="useWord2013TrackBottomHyphenation" w:uri="http://schemas.microsoft.com/office/word" w:val="0"/>
  </w:compat>
  <w:rsids>
    <w:rsidRoot w:val="0030192A"/>
    <w:rsid w:val="000101EC"/>
    <w:rsid w:val="00010625"/>
    <w:rsid w:val="00014D9B"/>
    <w:rsid w:val="000167AD"/>
    <w:rsid w:val="0002516B"/>
    <w:rsid w:val="00025CBD"/>
    <w:rsid w:val="00026745"/>
    <w:rsid w:val="00036D7E"/>
    <w:rsid w:val="00066DE0"/>
    <w:rsid w:val="00093F43"/>
    <w:rsid w:val="000A4CC2"/>
    <w:rsid w:val="000C38AD"/>
    <w:rsid w:val="000F1D09"/>
    <w:rsid w:val="001008BC"/>
    <w:rsid w:val="00121746"/>
    <w:rsid w:val="00121B25"/>
    <w:rsid w:val="00131CE0"/>
    <w:rsid w:val="0013546A"/>
    <w:rsid w:val="00135707"/>
    <w:rsid w:val="001407D1"/>
    <w:rsid w:val="00141DDC"/>
    <w:rsid w:val="0014391D"/>
    <w:rsid w:val="00153388"/>
    <w:rsid w:val="00165811"/>
    <w:rsid w:val="00196E24"/>
    <w:rsid w:val="00201201"/>
    <w:rsid w:val="002045CC"/>
    <w:rsid w:val="00215CCC"/>
    <w:rsid w:val="0022718E"/>
    <w:rsid w:val="0022790C"/>
    <w:rsid w:val="00233E22"/>
    <w:rsid w:val="002630D8"/>
    <w:rsid w:val="00271E46"/>
    <w:rsid w:val="002D230D"/>
    <w:rsid w:val="002D62AA"/>
    <w:rsid w:val="0030192A"/>
    <w:rsid w:val="0031239E"/>
    <w:rsid w:val="00331FFB"/>
    <w:rsid w:val="00366A1B"/>
    <w:rsid w:val="00374248"/>
    <w:rsid w:val="003931E2"/>
    <w:rsid w:val="00393A05"/>
    <w:rsid w:val="003B3D82"/>
    <w:rsid w:val="003C3BEF"/>
    <w:rsid w:val="003D431A"/>
    <w:rsid w:val="003E010F"/>
    <w:rsid w:val="00423AA4"/>
    <w:rsid w:val="00431024"/>
    <w:rsid w:val="004372ED"/>
    <w:rsid w:val="00445A44"/>
    <w:rsid w:val="004B10F8"/>
    <w:rsid w:val="004C7332"/>
    <w:rsid w:val="004D01D7"/>
    <w:rsid w:val="004D2601"/>
    <w:rsid w:val="004D3EE1"/>
    <w:rsid w:val="004F00FE"/>
    <w:rsid w:val="004F2898"/>
    <w:rsid w:val="00533870"/>
    <w:rsid w:val="0053772C"/>
    <w:rsid w:val="005414FC"/>
    <w:rsid w:val="0054249C"/>
    <w:rsid w:val="00561A58"/>
    <w:rsid w:val="005661D9"/>
    <w:rsid w:val="00567162"/>
    <w:rsid w:val="00590287"/>
    <w:rsid w:val="005915E2"/>
    <w:rsid w:val="00591710"/>
    <w:rsid w:val="00596C8E"/>
    <w:rsid w:val="005A5416"/>
    <w:rsid w:val="005B06CF"/>
    <w:rsid w:val="005B09BD"/>
    <w:rsid w:val="005B172E"/>
    <w:rsid w:val="005B1F31"/>
    <w:rsid w:val="005C1232"/>
    <w:rsid w:val="005D7FC0"/>
    <w:rsid w:val="005E6051"/>
    <w:rsid w:val="00614222"/>
    <w:rsid w:val="006173E3"/>
    <w:rsid w:val="00620DD5"/>
    <w:rsid w:val="00620F1E"/>
    <w:rsid w:val="00635C97"/>
    <w:rsid w:val="00641FFB"/>
    <w:rsid w:val="006441CB"/>
    <w:rsid w:val="00646D9A"/>
    <w:rsid w:val="006554C8"/>
    <w:rsid w:val="00655B53"/>
    <w:rsid w:val="00656075"/>
    <w:rsid w:val="00697DDD"/>
    <w:rsid w:val="006A03F9"/>
    <w:rsid w:val="006A28AB"/>
    <w:rsid w:val="006B2910"/>
    <w:rsid w:val="006C16C4"/>
    <w:rsid w:val="006C7188"/>
    <w:rsid w:val="006F4E49"/>
    <w:rsid w:val="0070286D"/>
    <w:rsid w:val="00702DFD"/>
    <w:rsid w:val="00702EE0"/>
    <w:rsid w:val="00706D8B"/>
    <w:rsid w:val="00747708"/>
    <w:rsid w:val="007513BF"/>
    <w:rsid w:val="00755A3B"/>
    <w:rsid w:val="007568F3"/>
    <w:rsid w:val="00791CEB"/>
    <w:rsid w:val="007A55B1"/>
    <w:rsid w:val="007F752B"/>
    <w:rsid w:val="00813321"/>
    <w:rsid w:val="0082722C"/>
    <w:rsid w:val="008541DB"/>
    <w:rsid w:val="008642F9"/>
    <w:rsid w:val="0087194D"/>
    <w:rsid w:val="00871A55"/>
    <w:rsid w:val="008803FA"/>
    <w:rsid w:val="00891FE7"/>
    <w:rsid w:val="008939E1"/>
    <w:rsid w:val="008B56E4"/>
    <w:rsid w:val="008E15BD"/>
    <w:rsid w:val="008E3170"/>
    <w:rsid w:val="008E741F"/>
    <w:rsid w:val="0091316D"/>
    <w:rsid w:val="0093271B"/>
    <w:rsid w:val="00945FA1"/>
    <w:rsid w:val="0096182C"/>
    <w:rsid w:val="00966A00"/>
    <w:rsid w:val="00984BCE"/>
    <w:rsid w:val="009C5DC8"/>
    <w:rsid w:val="009D45D4"/>
    <w:rsid w:val="009E57C4"/>
    <w:rsid w:val="009F69D3"/>
    <w:rsid w:val="00A412C5"/>
    <w:rsid w:val="00A509EA"/>
    <w:rsid w:val="00A512E6"/>
    <w:rsid w:val="00A73266"/>
    <w:rsid w:val="00A73692"/>
    <w:rsid w:val="00A749D2"/>
    <w:rsid w:val="00A876F5"/>
    <w:rsid w:val="00A91B34"/>
    <w:rsid w:val="00AA5C03"/>
    <w:rsid w:val="00AA7DAC"/>
    <w:rsid w:val="00AE4852"/>
    <w:rsid w:val="00AE684C"/>
    <w:rsid w:val="00AF1145"/>
    <w:rsid w:val="00B0505B"/>
    <w:rsid w:val="00B15AED"/>
    <w:rsid w:val="00B1723F"/>
    <w:rsid w:val="00B32B5F"/>
    <w:rsid w:val="00B33779"/>
    <w:rsid w:val="00B338BD"/>
    <w:rsid w:val="00B45218"/>
    <w:rsid w:val="00B56D6D"/>
    <w:rsid w:val="00B80691"/>
    <w:rsid w:val="00B976B8"/>
    <w:rsid w:val="00B97BE4"/>
    <w:rsid w:val="00BC4E6A"/>
    <w:rsid w:val="00C03DC5"/>
    <w:rsid w:val="00C04E56"/>
    <w:rsid w:val="00C31276"/>
    <w:rsid w:val="00C33848"/>
    <w:rsid w:val="00C3401E"/>
    <w:rsid w:val="00C50788"/>
    <w:rsid w:val="00C6355C"/>
    <w:rsid w:val="00C6515C"/>
    <w:rsid w:val="00C770C4"/>
    <w:rsid w:val="00C80B51"/>
    <w:rsid w:val="00C85659"/>
    <w:rsid w:val="00C85AFC"/>
    <w:rsid w:val="00C90EEC"/>
    <w:rsid w:val="00CC0547"/>
    <w:rsid w:val="00CE752C"/>
    <w:rsid w:val="00D45913"/>
    <w:rsid w:val="00D6282E"/>
    <w:rsid w:val="00D7377F"/>
    <w:rsid w:val="00D77E01"/>
    <w:rsid w:val="00DA5ED4"/>
    <w:rsid w:val="00DC1184"/>
    <w:rsid w:val="00DE63F2"/>
    <w:rsid w:val="00DF2EF7"/>
    <w:rsid w:val="00E04F72"/>
    <w:rsid w:val="00E3237A"/>
    <w:rsid w:val="00E3433E"/>
    <w:rsid w:val="00E34492"/>
    <w:rsid w:val="00E44290"/>
    <w:rsid w:val="00E66F23"/>
    <w:rsid w:val="00E73536"/>
    <w:rsid w:val="00E76598"/>
    <w:rsid w:val="00EA6276"/>
    <w:rsid w:val="00ED1F2D"/>
    <w:rsid w:val="00EF34C4"/>
    <w:rsid w:val="00F26F48"/>
    <w:rsid w:val="00F667BD"/>
    <w:rsid w:val="00F702D2"/>
    <w:rsid w:val="00FA6828"/>
    <w:rsid w:val="00FB43F9"/>
    <w:rsid w:val="00FC2D61"/>
    <w:rsid w:val="00FE0B0C"/>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CE723B"/>
  <w14:defaultImageDpi w14:val="0"/>
  <w15:docId w15:val="{84761F65-F77F-43DC-8C70-B09D9B96B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imes New Roman" w:hAnsi="Times New Roman"/>
      <w:sz w:val="20"/>
      <w:szCs w:val="20"/>
      <w:lang/>
    </w:rPr>
  </w:style>
  <w:style w:type="paragraph" w:styleId="Heading1">
    <w:name w:val="heading 1"/>
    <w:basedOn w:val="Normal"/>
    <w:next w:val="Normal"/>
    <w:link w:val="Heading1Char"/>
    <w:uiPriority w:val="9"/>
    <w:qFormat/>
    <w:rsid w:val="0054249C"/>
    <w:pPr>
      <w:keepNext/>
      <w:spacing w:before="240" w:after="60"/>
      <w:outlineLvl w:val="0"/>
    </w:pPr>
    <w:rPr>
      <w:rFonts w:asciiTheme="majorHAnsi" w:eastAsiaTheme="majorEastAsia" w:hAnsiTheme="majorHAnsi"/>
      <w:b/>
      <w:bCs/>
      <w:kern w:val="32"/>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54249C"/>
    <w:rPr>
      <w:rFonts w:asciiTheme="majorHAnsi" w:eastAsiaTheme="majorEastAsia" w:hAnsiTheme="majorHAnsi" w:cs="Times New Roman"/>
      <w:b/>
      <w:bCs/>
      <w:kern w:val="32"/>
      <w:sz w:val="32"/>
      <w:szCs w:val="32"/>
      <w:lang w:val="en-US" w:eastAsia="x-none"/>
    </w:rPr>
  </w:style>
  <w:style w:type="paragraph" w:customStyle="1" w:styleId="sp">
    <w:name w:val="sp"/>
    <w:uiPriority w:val="99"/>
    <w:pPr>
      <w:widowControl w:val="0"/>
      <w:autoSpaceDE w:val="0"/>
      <w:autoSpaceDN w:val="0"/>
      <w:adjustRightInd w:val="0"/>
      <w:spacing w:after="0" w:line="240" w:lineRule="auto"/>
    </w:pPr>
    <w:rPr>
      <w:rFonts w:ascii="Times New Roman" w:hAnsi="Times New Roman"/>
      <w:sz w:val="20"/>
      <w:szCs w:val="20"/>
      <w:lang/>
    </w:rPr>
  </w:style>
  <w:style w:type="paragraph" w:customStyle="1" w:styleId="portfoliotitle">
    <w:name w:val="portfolio_title"/>
    <w:uiPriority w:val="99"/>
    <w:pPr>
      <w:widowControl w:val="0"/>
      <w:autoSpaceDE w:val="0"/>
      <w:autoSpaceDN w:val="0"/>
      <w:adjustRightInd w:val="0"/>
      <w:spacing w:after="0" w:line="240" w:lineRule="auto"/>
    </w:pPr>
    <w:rPr>
      <w:rFonts w:ascii="Times New Roman" w:hAnsi="Times New Roman"/>
      <w:b/>
      <w:bCs/>
      <w:color w:val="FF0000"/>
      <w:sz w:val="28"/>
      <w:szCs w:val="28"/>
      <w:lang/>
    </w:rPr>
  </w:style>
  <w:style w:type="paragraph" w:customStyle="1" w:styleId="namedachapter">
    <w:name w:val="name_da_chapter"/>
    <w:uiPriority w:val="99"/>
    <w:pPr>
      <w:widowControl w:val="0"/>
      <w:autoSpaceDE w:val="0"/>
      <w:autoSpaceDN w:val="0"/>
      <w:adjustRightInd w:val="0"/>
      <w:spacing w:after="0" w:line="240" w:lineRule="auto"/>
    </w:pPr>
    <w:rPr>
      <w:rFonts w:ascii="Times New Roman" w:hAnsi="Times New Roman"/>
      <w:b/>
      <w:bCs/>
      <w:color w:val="000000"/>
      <w:sz w:val="28"/>
      <w:szCs w:val="28"/>
      <w:lang/>
    </w:rPr>
  </w:style>
  <w:style w:type="paragraph" w:customStyle="1" w:styleId="outsideauthor">
    <w:name w:val="outside_author"/>
    <w:uiPriority w:val="99"/>
    <w:pPr>
      <w:widowControl w:val="0"/>
      <w:autoSpaceDE w:val="0"/>
      <w:autoSpaceDN w:val="0"/>
      <w:adjustRightInd w:val="0"/>
      <w:spacing w:after="0" w:line="240" w:lineRule="auto"/>
    </w:pPr>
    <w:rPr>
      <w:rFonts w:ascii="Times New Roman" w:hAnsi="Times New Roman"/>
      <w:b/>
      <w:bCs/>
      <w:sz w:val="20"/>
      <w:szCs w:val="20"/>
      <w:lang/>
    </w:rPr>
  </w:style>
  <w:style w:type="paragraph" w:customStyle="1" w:styleId="organization">
    <w:name w:val="organization"/>
    <w:uiPriority w:val="99"/>
    <w:pPr>
      <w:widowControl w:val="0"/>
      <w:autoSpaceDE w:val="0"/>
      <w:autoSpaceDN w:val="0"/>
      <w:adjustRightInd w:val="0"/>
      <w:spacing w:after="0" w:line="240" w:lineRule="auto"/>
    </w:pPr>
    <w:rPr>
      <w:rFonts w:ascii="Times New Roman" w:hAnsi="Times New Roman"/>
      <w:sz w:val="20"/>
      <w:szCs w:val="20"/>
      <w:lang/>
    </w:rPr>
  </w:style>
  <w:style w:type="paragraph" w:customStyle="1" w:styleId="section">
    <w:name w:val="section"/>
    <w:uiPriority w:val="99"/>
    <w:pPr>
      <w:widowControl w:val="0"/>
      <w:autoSpaceDE w:val="0"/>
      <w:autoSpaceDN w:val="0"/>
      <w:adjustRightInd w:val="0"/>
      <w:spacing w:after="0" w:line="240" w:lineRule="auto"/>
      <w:jc w:val="right"/>
    </w:pPr>
    <w:rPr>
      <w:rFonts w:ascii="Times New Roman" w:hAnsi="Times New Roman"/>
      <w:b/>
      <w:bCs/>
      <w:color w:val="0000FF"/>
      <w:sz w:val="36"/>
      <w:szCs w:val="36"/>
      <w:lang/>
    </w:rPr>
  </w:style>
  <w:style w:type="paragraph" w:customStyle="1" w:styleId="subsection">
    <w:name w:val="subsection"/>
    <w:uiPriority w:val="99"/>
    <w:pPr>
      <w:widowControl w:val="0"/>
      <w:autoSpaceDE w:val="0"/>
      <w:autoSpaceDN w:val="0"/>
      <w:adjustRightInd w:val="0"/>
      <w:spacing w:after="0" w:line="240" w:lineRule="auto"/>
      <w:jc w:val="right"/>
    </w:pPr>
    <w:rPr>
      <w:rFonts w:ascii="Times New Roman" w:hAnsi="Times New Roman"/>
      <w:b/>
      <w:bCs/>
      <w:sz w:val="28"/>
      <w:szCs w:val="28"/>
      <w:lang/>
    </w:rPr>
  </w:style>
  <w:style w:type="paragraph" w:customStyle="1" w:styleId="p">
    <w:name w:val="p"/>
    <w:uiPriority w:val="99"/>
    <w:pPr>
      <w:widowControl w:val="0"/>
      <w:autoSpaceDE w:val="0"/>
      <w:autoSpaceDN w:val="0"/>
      <w:adjustRightInd w:val="0"/>
      <w:spacing w:before="100" w:after="0" w:line="240" w:lineRule="auto"/>
      <w:ind w:firstLine="150"/>
    </w:pPr>
    <w:rPr>
      <w:rFonts w:ascii="Times New Roman" w:hAnsi="Times New Roman"/>
      <w:sz w:val="20"/>
      <w:szCs w:val="20"/>
      <w:lang/>
    </w:rPr>
  </w:style>
  <w:style w:type="paragraph" w:customStyle="1" w:styleId="bioinfo">
    <w:name w:val="bio_info"/>
    <w:uiPriority w:val="99"/>
    <w:pPr>
      <w:widowControl w:val="0"/>
      <w:autoSpaceDE w:val="0"/>
      <w:autoSpaceDN w:val="0"/>
      <w:adjustRightInd w:val="0"/>
      <w:spacing w:after="0" w:line="240" w:lineRule="auto"/>
    </w:pPr>
    <w:rPr>
      <w:rFonts w:ascii="Times New Roman" w:hAnsi="Times New Roman"/>
      <w:sz w:val="20"/>
      <w:szCs w:val="20"/>
      <w:lang/>
    </w:rPr>
  </w:style>
  <w:style w:type="paragraph" w:customStyle="1" w:styleId="PDS">
    <w:name w:val="PDS"/>
    <w:uiPriority w:val="99"/>
    <w:pPr>
      <w:widowControl w:val="0"/>
      <w:autoSpaceDE w:val="0"/>
      <w:autoSpaceDN w:val="0"/>
      <w:adjustRightInd w:val="0"/>
      <w:spacing w:after="0" w:line="240" w:lineRule="auto"/>
    </w:pPr>
    <w:rPr>
      <w:rFonts w:ascii="Times New Roman" w:hAnsi="Times New Roman"/>
      <w:b/>
      <w:bCs/>
      <w:color w:val="FF0000"/>
      <w:lang/>
    </w:rPr>
  </w:style>
  <w:style w:type="paragraph" w:customStyle="1" w:styleId="chapter">
    <w:name w:val="chapter"/>
    <w:uiPriority w:val="99"/>
    <w:pPr>
      <w:widowControl w:val="0"/>
      <w:autoSpaceDE w:val="0"/>
      <w:autoSpaceDN w:val="0"/>
      <w:adjustRightInd w:val="0"/>
      <w:spacing w:after="0" w:line="240" w:lineRule="auto"/>
    </w:pPr>
    <w:rPr>
      <w:rFonts w:ascii="Times New Roman" w:hAnsi="Times New Roman"/>
      <w:b/>
      <w:bCs/>
      <w:sz w:val="30"/>
      <w:szCs w:val="30"/>
      <w:lang/>
    </w:rPr>
  </w:style>
  <w:style w:type="paragraph" w:customStyle="1" w:styleId="level">
    <w:name w:val="level"/>
    <w:uiPriority w:val="99"/>
    <w:pPr>
      <w:widowControl w:val="0"/>
      <w:autoSpaceDE w:val="0"/>
      <w:autoSpaceDN w:val="0"/>
      <w:adjustRightInd w:val="0"/>
      <w:spacing w:after="0" w:line="300" w:lineRule="atLeast"/>
    </w:pPr>
    <w:rPr>
      <w:rFonts w:ascii="Times New Roman" w:hAnsi="Times New Roman"/>
      <w:b/>
      <w:bCs/>
      <w:sz w:val="20"/>
      <w:szCs w:val="20"/>
      <w:lang/>
    </w:rPr>
  </w:style>
  <w:style w:type="paragraph" w:customStyle="1" w:styleId="example">
    <w:name w:val="example"/>
    <w:uiPriority w:val="99"/>
    <w:pPr>
      <w:widowControl w:val="0"/>
      <w:autoSpaceDE w:val="0"/>
      <w:autoSpaceDN w:val="0"/>
      <w:adjustRightInd w:val="0"/>
      <w:spacing w:after="0" w:line="240" w:lineRule="auto"/>
    </w:pPr>
    <w:rPr>
      <w:rFonts w:ascii="Times New Roman" w:hAnsi="Times New Roman"/>
      <w:i/>
      <w:iCs/>
      <w:color w:val="0000FF"/>
      <w:sz w:val="20"/>
      <w:szCs w:val="20"/>
      <w:lang/>
    </w:rPr>
  </w:style>
  <w:style w:type="paragraph" w:customStyle="1" w:styleId="note">
    <w:name w:val="note"/>
    <w:uiPriority w:val="99"/>
    <w:pPr>
      <w:widowControl w:val="0"/>
      <w:autoSpaceDE w:val="0"/>
      <w:autoSpaceDN w:val="0"/>
      <w:adjustRightInd w:val="0"/>
      <w:spacing w:after="0" w:line="240" w:lineRule="auto"/>
    </w:pPr>
    <w:rPr>
      <w:rFonts w:ascii="Times New Roman" w:hAnsi="Times New Roman"/>
      <w:color w:val="0000FF"/>
      <w:sz w:val="20"/>
      <w:szCs w:val="20"/>
      <w:lang/>
    </w:rPr>
  </w:style>
  <w:style w:type="paragraph" w:customStyle="1" w:styleId="listitem">
    <w:name w:val="list.item"/>
    <w:uiPriority w:val="99"/>
    <w:pPr>
      <w:widowControl w:val="0"/>
      <w:autoSpaceDE w:val="0"/>
      <w:autoSpaceDN w:val="0"/>
      <w:adjustRightInd w:val="0"/>
      <w:spacing w:after="0" w:line="240" w:lineRule="auto"/>
    </w:pPr>
    <w:rPr>
      <w:rFonts w:ascii="Times New Roman" w:hAnsi="Times New Roman"/>
      <w:color w:val="0000FF"/>
      <w:sz w:val="20"/>
      <w:szCs w:val="20"/>
      <w:lang/>
    </w:rPr>
  </w:style>
  <w:style w:type="paragraph" w:customStyle="1" w:styleId="workingpapers">
    <w:name w:val="working_papers"/>
    <w:uiPriority w:val="99"/>
    <w:pPr>
      <w:widowControl w:val="0"/>
      <w:autoSpaceDE w:val="0"/>
      <w:autoSpaceDN w:val="0"/>
      <w:adjustRightInd w:val="0"/>
      <w:spacing w:after="0" w:line="240" w:lineRule="auto"/>
    </w:pPr>
    <w:rPr>
      <w:rFonts w:ascii="Times New Roman" w:hAnsi="Times New Roman"/>
      <w:color w:val="0000FF"/>
      <w:sz w:val="20"/>
      <w:szCs w:val="20"/>
      <w:lang/>
    </w:rPr>
  </w:style>
  <w:style w:type="paragraph" w:styleId="Bibliography">
    <w:name w:val="Bibliography"/>
    <w:basedOn w:val="Normal"/>
    <w:next w:val="Normal"/>
    <w:uiPriority w:val="99"/>
  </w:style>
  <w:style w:type="paragraph" w:customStyle="1" w:styleId="subhead">
    <w:name w:val="subhead"/>
    <w:uiPriority w:val="99"/>
    <w:pPr>
      <w:widowControl w:val="0"/>
      <w:autoSpaceDE w:val="0"/>
      <w:autoSpaceDN w:val="0"/>
      <w:adjustRightInd w:val="0"/>
      <w:spacing w:before="240" w:after="240" w:line="240" w:lineRule="auto"/>
      <w:jc w:val="center"/>
    </w:pPr>
    <w:rPr>
      <w:rFonts w:ascii="Times New Roman" w:hAnsi="Times New Roman"/>
      <w:b/>
      <w:bCs/>
      <w:lang/>
    </w:rPr>
  </w:style>
  <w:style w:type="paragraph" w:customStyle="1" w:styleId="document">
    <w:name w:val="document"/>
    <w:uiPriority w:val="99"/>
    <w:pPr>
      <w:widowControl w:val="0"/>
      <w:autoSpaceDE w:val="0"/>
      <w:autoSpaceDN w:val="0"/>
      <w:adjustRightInd w:val="0"/>
      <w:spacing w:after="0" w:line="240" w:lineRule="auto"/>
    </w:pPr>
    <w:rPr>
      <w:rFonts w:ascii="Times New Roman" w:hAnsi="Times New Roman"/>
      <w:sz w:val="18"/>
      <w:szCs w:val="18"/>
      <w:lang/>
    </w:rPr>
  </w:style>
  <w:style w:type="paragraph" w:customStyle="1" w:styleId="versioninfo">
    <w:name w:val="versioninfo"/>
    <w:uiPriority w:val="99"/>
    <w:pPr>
      <w:widowControl w:val="0"/>
      <w:autoSpaceDE w:val="0"/>
      <w:autoSpaceDN w:val="0"/>
      <w:adjustRightInd w:val="0"/>
      <w:spacing w:after="0" w:line="240" w:lineRule="auto"/>
    </w:pPr>
    <w:rPr>
      <w:rFonts w:ascii="Times New Roman" w:hAnsi="Times New Roman"/>
      <w:color w:val="0000FF"/>
      <w:sz w:val="20"/>
      <w:szCs w:val="20"/>
      <w:lang/>
    </w:rPr>
  </w:style>
  <w:style w:type="paragraph" w:customStyle="1" w:styleId="longquote">
    <w:name w:val="long_quote"/>
    <w:uiPriority w:val="99"/>
    <w:pPr>
      <w:widowControl w:val="0"/>
      <w:autoSpaceDE w:val="0"/>
      <w:autoSpaceDN w:val="0"/>
      <w:adjustRightInd w:val="0"/>
      <w:spacing w:after="0" w:line="240" w:lineRule="auto"/>
      <w:ind w:left="250" w:firstLine="300"/>
    </w:pPr>
    <w:rPr>
      <w:rFonts w:ascii="Times New Roman" w:hAnsi="Times New Roman"/>
      <w:sz w:val="18"/>
      <w:szCs w:val="18"/>
      <w:lang/>
    </w:rPr>
  </w:style>
  <w:style w:type="paragraph" w:customStyle="1" w:styleId="head">
    <w:name w:val="head"/>
    <w:uiPriority w:val="99"/>
    <w:pPr>
      <w:widowControl w:val="0"/>
      <w:autoSpaceDE w:val="0"/>
      <w:autoSpaceDN w:val="0"/>
      <w:adjustRightInd w:val="0"/>
      <w:spacing w:before="240" w:after="240" w:line="240" w:lineRule="auto"/>
      <w:jc w:val="center"/>
    </w:pPr>
    <w:rPr>
      <w:rFonts w:ascii="Times New Roman" w:hAnsi="Times New Roman"/>
      <w:b/>
      <w:bCs/>
      <w:sz w:val="24"/>
      <w:szCs w:val="24"/>
      <w:lang/>
    </w:rPr>
  </w:style>
  <w:style w:type="paragraph" w:customStyle="1" w:styleId="image">
    <w:name w:val="image"/>
    <w:uiPriority w:val="99"/>
    <w:pPr>
      <w:widowControl w:val="0"/>
      <w:autoSpaceDE w:val="0"/>
      <w:autoSpaceDN w:val="0"/>
      <w:adjustRightInd w:val="0"/>
      <w:spacing w:before="240" w:after="240" w:line="240" w:lineRule="auto"/>
      <w:jc w:val="center"/>
    </w:pPr>
    <w:rPr>
      <w:rFonts w:ascii="Times New Roman" w:hAnsi="Times New Roman"/>
      <w:b/>
      <w:bCs/>
      <w:sz w:val="24"/>
      <w:szCs w:val="24"/>
      <w:lang/>
    </w:rPr>
  </w:style>
  <w:style w:type="paragraph" w:customStyle="1" w:styleId="descriptor">
    <w:name w:val="descriptor"/>
    <w:uiPriority w:val="99"/>
    <w:pPr>
      <w:widowControl w:val="0"/>
      <w:autoSpaceDE w:val="0"/>
      <w:autoSpaceDN w:val="0"/>
      <w:adjustRightInd w:val="0"/>
      <w:spacing w:after="0" w:line="240" w:lineRule="auto"/>
    </w:pPr>
    <w:rPr>
      <w:rFonts w:ascii="Times New Roman" w:hAnsi="Times New Roman"/>
      <w:sz w:val="18"/>
      <w:szCs w:val="18"/>
      <w:lang/>
    </w:rPr>
  </w:style>
  <w:style w:type="paragraph" w:customStyle="1" w:styleId="author">
    <w:name w:val="author"/>
    <w:uiPriority w:val="99"/>
    <w:pPr>
      <w:widowControl w:val="0"/>
      <w:autoSpaceDE w:val="0"/>
      <w:autoSpaceDN w:val="0"/>
      <w:adjustRightInd w:val="0"/>
      <w:spacing w:after="0" w:line="240" w:lineRule="auto"/>
    </w:pPr>
    <w:rPr>
      <w:rFonts w:ascii="Times New Roman" w:hAnsi="Times New Roman"/>
      <w:sz w:val="20"/>
      <w:szCs w:val="20"/>
      <w:lang/>
    </w:rPr>
  </w:style>
  <w:style w:type="paragraph" w:customStyle="1" w:styleId="shead">
    <w:name w:val="shead"/>
    <w:uiPriority w:val="99"/>
    <w:pPr>
      <w:widowControl w:val="0"/>
      <w:autoSpaceDE w:val="0"/>
      <w:autoSpaceDN w:val="0"/>
      <w:adjustRightInd w:val="0"/>
      <w:spacing w:before="240" w:after="240" w:line="240" w:lineRule="auto"/>
      <w:jc w:val="center"/>
    </w:pPr>
    <w:rPr>
      <w:rFonts w:ascii="Times New Roman" w:hAnsi="Times New Roman"/>
      <w:b/>
      <w:bCs/>
      <w:sz w:val="24"/>
      <w:szCs w:val="24"/>
      <w:lang/>
    </w:rPr>
  </w:style>
  <w:style w:type="paragraph" w:customStyle="1" w:styleId="subhead1">
    <w:name w:val="subhead1"/>
    <w:uiPriority w:val="99"/>
    <w:pPr>
      <w:widowControl w:val="0"/>
      <w:autoSpaceDE w:val="0"/>
      <w:autoSpaceDN w:val="0"/>
      <w:adjustRightInd w:val="0"/>
      <w:spacing w:before="240" w:after="240" w:line="240" w:lineRule="auto"/>
      <w:jc w:val="center"/>
    </w:pPr>
    <w:rPr>
      <w:rFonts w:ascii="Times New Roman" w:hAnsi="Times New Roman"/>
      <w:b/>
      <w:bCs/>
      <w:sz w:val="20"/>
      <w:szCs w:val="20"/>
      <w:lang/>
    </w:rPr>
  </w:style>
  <w:style w:type="paragraph" w:customStyle="1" w:styleId="subhead2">
    <w:name w:val="subhead2"/>
    <w:uiPriority w:val="99"/>
    <w:pPr>
      <w:widowControl w:val="0"/>
      <w:autoSpaceDE w:val="0"/>
      <w:autoSpaceDN w:val="0"/>
      <w:adjustRightInd w:val="0"/>
      <w:spacing w:before="240" w:after="240" w:line="240" w:lineRule="auto"/>
      <w:jc w:val="center"/>
    </w:pPr>
    <w:rPr>
      <w:rFonts w:ascii="Times New Roman" w:hAnsi="Times New Roman"/>
      <w:b/>
      <w:bCs/>
      <w:i/>
      <w:iCs/>
      <w:sz w:val="24"/>
      <w:szCs w:val="24"/>
      <w:lang/>
    </w:rPr>
  </w:style>
  <w:style w:type="paragraph" w:customStyle="1" w:styleId="subhead3">
    <w:name w:val="subhead3"/>
    <w:uiPriority w:val="99"/>
    <w:pPr>
      <w:widowControl w:val="0"/>
      <w:autoSpaceDE w:val="0"/>
      <w:autoSpaceDN w:val="0"/>
      <w:adjustRightInd w:val="0"/>
      <w:spacing w:before="240" w:after="240" w:line="240" w:lineRule="auto"/>
      <w:jc w:val="center"/>
    </w:pPr>
    <w:rPr>
      <w:rFonts w:ascii="Times New Roman" w:hAnsi="Times New Roman"/>
      <w:b/>
      <w:bCs/>
      <w:sz w:val="24"/>
      <w:szCs w:val="24"/>
      <w:lang/>
    </w:rPr>
  </w:style>
  <w:style w:type="paragraph" w:customStyle="1" w:styleId="subhead4">
    <w:name w:val="subhead4"/>
    <w:uiPriority w:val="99"/>
    <w:pPr>
      <w:widowControl w:val="0"/>
      <w:autoSpaceDE w:val="0"/>
      <w:autoSpaceDN w:val="0"/>
      <w:adjustRightInd w:val="0"/>
      <w:spacing w:before="240" w:after="240" w:line="240" w:lineRule="auto"/>
      <w:jc w:val="center"/>
    </w:pPr>
    <w:rPr>
      <w:rFonts w:ascii="Times New Roman" w:hAnsi="Times New Roman"/>
      <w:b/>
      <w:bCs/>
      <w:i/>
      <w:iCs/>
      <w:sz w:val="24"/>
      <w:szCs w:val="24"/>
      <w:lang/>
    </w:rPr>
  </w:style>
  <w:style w:type="paragraph" w:customStyle="1" w:styleId="subhead5">
    <w:name w:val="subhead5"/>
    <w:uiPriority w:val="99"/>
    <w:pPr>
      <w:widowControl w:val="0"/>
      <w:autoSpaceDE w:val="0"/>
      <w:autoSpaceDN w:val="0"/>
      <w:adjustRightInd w:val="0"/>
      <w:spacing w:before="240" w:after="240" w:line="240" w:lineRule="auto"/>
      <w:jc w:val="center"/>
    </w:pPr>
    <w:rPr>
      <w:rFonts w:ascii="Times New Roman" w:hAnsi="Times New Roman"/>
      <w:i/>
      <w:iCs/>
      <w:sz w:val="20"/>
      <w:szCs w:val="20"/>
      <w:lang/>
    </w:rPr>
  </w:style>
  <w:style w:type="paragraph" w:customStyle="1" w:styleId="subhead6">
    <w:name w:val="subhead6"/>
    <w:uiPriority w:val="99"/>
    <w:pPr>
      <w:widowControl w:val="0"/>
      <w:autoSpaceDE w:val="0"/>
      <w:autoSpaceDN w:val="0"/>
      <w:adjustRightInd w:val="0"/>
      <w:spacing w:before="240" w:after="240" w:line="240" w:lineRule="auto"/>
      <w:jc w:val="center"/>
    </w:pPr>
    <w:rPr>
      <w:rFonts w:ascii="Times New Roman" w:hAnsi="Times New Roman"/>
      <w:sz w:val="20"/>
      <w:szCs w:val="20"/>
      <w:lang/>
    </w:rPr>
  </w:style>
  <w:style w:type="paragraph" w:customStyle="1" w:styleId="subhead7">
    <w:name w:val="subhead7"/>
    <w:uiPriority w:val="99"/>
    <w:pPr>
      <w:widowControl w:val="0"/>
      <w:autoSpaceDE w:val="0"/>
      <w:autoSpaceDN w:val="0"/>
      <w:adjustRightInd w:val="0"/>
      <w:spacing w:after="0" w:line="240" w:lineRule="auto"/>
      <w:ind w:firstLine="240"/>
      <w:jc w:val="center"/>
    </w:pPr>
    <w:rPr>
      <w:rFonts w:ascii="Times New Roman" w:hAnsi="Times New Roman"/>
      <w:i/>
      <w:iCs/>
      <w:sz w:val="20"/>
      <w:szCs w:val="20"/>
      <w:lang/>
    </w:rPr>
  </w:style>
  <w:style w:type="paragraph" w:customStyle="1" w:styleId="subhead8">
    <w:name w:val="subhead8"/>
    <w:uiPriority w:val="99"/>
    <w:pPr>
      <w:widowControl w:val="0"/>
      <w:autoSpaceDE w:val="0"/>
      <w:autoSpaceDN w:val="0"/>
      <w:adjustRightInd w:val="0"/>
      <w:spacing w:after="0" w:line="240" w:lineRule="auto"/>
      <w:ind w:firstLine="240"/>
      <w:jc w:val="center"/>
    </w:pPr>
    <w:rPr>
      <w:rFonts w:ascii="Times New Roman" w:hAnsi="Times New Roman"/>
      <w:b/>
      <w:bCs/>
      <w:sz w:val="24"/>
      <w:szCs w:val="24"/>
      <w:lang/>
    </w:rPr>
  </w:style>
  <w:style w:type="paragraph" w:customStyle="1" w:styleId="footnotepara">
    <w:name w:val="footnote_para"/>
    <w:uiPriority w:val="99"/>
    <w:pPr>
      <w:widowControl w:val="0"/>
      <w:autoSpaceDE w:val="0"/>
      <w:autoSpaceDN w:val="0"/>
      <w:adjustRightInd w:val="0"/>
      <w:spacing w:after="0" w:line="240" w:lineRule="auto"/>
    </w:pPr>
    <w:rPr>
      <w:rFonts w:ascii="Times New Roman" w:hAnsi="Times New Roman"/>
      <w:sz w:val="18"/>
      <w:szCs w:val="18"/>
      <w:lang/>
    </w:rPr>
  </w:style>
  <w:style w:type="character" w:styleId="FootnoteReference">
    <w:name w:val="footnote reference"/>
    <w:basedOn w:val="DefaultParagraphFont"/>
    <w:uiPriority w:val="99"/>
    <w:semiHidden/>
    <w:unhideWhenUsed/>
    <w:rPr>
      <w:rFonts w:cs="Times New Roman"/>
      <w:vertAlign w:val="superscript"/>
    </w:rPr>
  </w:style>
  <w:style w:type="character" w:styleId="EndnoteReference">
    <w:name w:val="endnote reference"/>
    <w:basedOn w:val="DefaultParagraphFont"/>
    <w:uiPriority w:val="99"/>
    <w:semiHidden/>
    <w:unhideWhenUsed/>
    <w:rsid w:val="0030192A"/>
    <w:rPr>
      <w:rFonts w:cs="Times New Roman"/>
      <w:vertAlign w:val="superscript"/>
    </w:rPr>
  </w:style>
  <w:style w:type="paragraph" w:styleId="Revision">
    <w:name w:val="Revision"/>
    <w:hidden/>
    <w:uiPriority w:val="99"/>
    <w:semiHidden/>
    <w:rsid w:val="0030192A"/>
    <w:pPr>
      <w:spacing w:after="0" w:line="240" w:lineRule="auto"/>
    </w:pPr>
    <w:rPr>
      <w:rFonts w:ascii="Times New Roman" w:hAnsi="Times New Roman"/>
      <w:sz w:val="20"/>
      <w:szCs w:val="20"/>
      <w:lang/>
    </w:rPr>
  </w:style>
  <w:style w:type="character" w:styleId="CommentReference">
    <w:name w:val="annotation reference"/>
    <w:basedOn w:val="DefaultParagraphFont"/>
    <w:uiPriority w:val="99"/>
    <w:semiHidden/>
    <w:unhideWhenUsed/>
    <w:rsid w:val="0054249C"/>
    <w:rPr>
      <w:rFonts w:cs="Times New Roman"/>
      <w:sz w:val="16"/>
      <w:szCs w:val="16"/>
    </w:rPr>
  </w:style>
  <w:style w:type="paragraph" w:styleId="CommentText">
    <w:name w:val="annotation text"/>
    <w:basedOn w:val="Normal"/>
    <w:link w:val="CommentTextChar"/>
    <w:uiPriority w:val="99"/>
    <w:unhideWhenUsed/>
    <w:rsid w:val="0054249C"/>
  </w:style>
  <w:style w:type="character" w:customStyle="1" w:styleId="CommentTextChar">
    <w:name w:val="Comment Text Char"/>
    <w:basedOn w:val="DefaultParagraphFont"/>
    <w:link w:val="CommentText"/>
    <w:uiPriority w:val="99"/>
    <w:locked/>
    <w:rsid w:val="0054249C"/>
    <w:rPr>
      <w:rFonts w:ascii="Times New Roman" w:hAnsi="Times New Roman" w:cs="Times New Roman"/>
      <w:sz w:val="20"/>
      <w:szCs w:val="20"/>
      <w:lang w:val="en-US" w:eastAsia="x-none"/>
    </w:rPr>
  </w:style>
  <w:style w:type="paragraph" w:styleId="CommentSubject">
    <w:name w:val="annotation subject"/>
    <w:basedOn w:val="CommentText"/>
    <w:next w:val="CommentText"/>
    <w:link w:val="CommentSubjectChar"/>
    <w:uiPriority w:val="99"/>
    <w:semiHidden/>
    <w:unhideWhenUsed/>
    <w:rsid w:val="0054249C"/>
    <w:rPr>
      <w:b/>
      <w:bCs/>
    </w:rPr>
  </w:style>
  <w:style w:type="character" w:customStyle="1" w:styleId="CommentSubjectChar">
    <w:name w:val="Comment Subject Char"/>
    <w:basedOn w:val="CommentTextChar"/>
    <w:link w:val="CommentSubject"/>
    <w:uiPriority w:val="99"/>
    <w:semiHidden/>
    <w:locked/>
    <w:rsid w:val="0054249C"/>
    <w:rPr>
      <w:rFonts w:ascii="Times New Roman" w:hAnsi="Times New Roman" w:cs="Times New Roman"/>
      <w:b/>
      <w:bCs/>
      <w:sz w:val="20"/>
      <w:szCs w:val="20"/>
      <w:lang w:val="en-US" w:eastAsia="x-none"/>
    </w:rPr>
  </w:style>
  <w:style w:type="paragraph" w:styleId="FootnoteText">
    <w:name w:val="footnote text"/>
    <w:basedOn w:val="Normal"/>
    <w:link w:val="FootnoteTextChar"/>
    <w:uiPriority w:val="99"/>
    <w:semiHidden/>
    <w:unhideWhenUsed/>
    <w:rsid w:val="0054249C"/>
  </w:style>
  <w:style w:type="character" w:customStyle="1" w:styleId="FootnoteTextChar">
    <w:name w:val="Footnote Text Char"/>
    <w:basedOn w:val="DefaultParagraphFont"/>
    <w:link w:val="FootnoteText"/>
    <w:uiPriority w:val="99"/>
    <w:semiHidden/>
    <w:locked/>
    <w:rsid w:val="0054249C"/>
    <w:rPr>
      <w:rFonts w:ascii="Times New Roman" w:hAnsi="Times New Roman" w:cs="Times New Roman"/>
      <w:sz w:val="20"/>
      <w:szCs w:val="20"/>
      <w:lang w:val="en-US" w:eastAsia="x-none"/>
    </w:rPr>
  </w:style>
  <w:style w:type="character" w:styleId="Hyperlink">
    <w:name w:val="Hyperlink"/>
    <w:basedOn w:val="DefaultParagraphFont"/>
    <w:uiPriority w:val="99"/>
    <w:unhideWhenUsed/>
    <w:rsid w:val="00567162"/>
    <w:rPr>
      <w:rFonts w:cs="Times New Roman"/>
      <w:color w:val="0563C1" w:themeColor="hyperlink"/>
      <w:u w:val="single"/>
    </w:rPr>
  </w:style>
  <w:style w:type="character" w:styleId="UnresolvedMention">
    <w:name w:val="Unresolved Mention"/>
    <w:basedOn w:val="DefaultParagraphFont"/>
    <w:uiPriority w:val="99"/>
    <w:semiHidden/>
    <w:unhideWhenUsed/>
    <w:rsid w:val="00567162"/>
    <w:rPr>
      <w:rFonts w:cs="Times New Roman"/>
      <w:color w:val="605E5C"/>
      <w:shd w:val="clear" w:color="auto" w:fill="E1DFDD"/>
    </w:rPr>
  </w:style>
  <w:style w:type="character" w:styleId="FollowedHyperlink">
    <w:name w:val="FollowedHyperlink"/>
    <w:basedOn w:val="DefaultParagraphFont"/>
    <w:uiPriority w:val="99"/>
    <w:semiHidden/>
    <w:unhideWhenUsed/>
    <w:rsid w:val="00B33779"/>
    <w:rPr>
      <w:rFonts w:cs="Times New Roman"/>
      <w:color w:val="954F72" w:themeColor="followedHyperlink"/>
      <w:u w:val="single"/>
    </w:rPr>
  </w:style>
  <w:style w:type="paragraph" w:styleId="ListParagraph">
    <w:name w:val="List Paragraph"/>
    <w:basedOn w:val="Normal"/>
    <w:uiPriority w:val="34"/>
    <w:qFormat/>
    <w:rsid w:val="00DE63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993064">
      <w:marLeft w:val="0"/>
      <w:marRight w:val="0"/>
      <w:marTop w:val="0"/>
      <w:marBottom w:val="0"/>
      <w:divBdr>
        <w:top w:val="none" w:sz="0" w:space="0" w:color="auto"/>
        <w:left w:val="none" w:sz="0" w:space="0" w:color="auto"/>
        <w:bottom w:val="none" w:sz="0" w:space="0" w:color="auto"/>
        <w:right w:val="none" w:sz="0" w:space="0" w:color="auto"/>
      </w:divBdr>
    </w:div>
    <w:div w:id="206993065">
      <w:marLeft w:val="0"/>
      <w:marRight w:val="0"/>
      <w:marTop w:val="0"/>
      <w:marBottom w:val="0"/>
      <w:divBdr>
        <w:top w:val="none" w:sz="0" w:space="0" w:color="auto"/>
        <w:left w:val="none" w:sz="0" w:space="0" w:color="auto"/>
        <w:bottom w:val="none" w:sz="0" w:space="0" w:color="auto"/>
        <w:right w:val="none" w:sz="0" w:space="0" w:color="auto"/>
      </w:divBdr>
    </w:div>
    <w:div w:id="20699306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2" Type="http://schemas.openxmlformats.org/officeDocument/2006/relationships/hyperlink" Target="https://www.bloomberglaw.com/product/tax/document/25564028456" TargetMode="External"/><Relationship Id="rId1" Type="http://schemas.openxmlformats.org/officeDocument/2006/relationships/hyperlink" Target="https://www.bloomberglaw.com/product/tax/search/results/83d6128383a56c7d4ebf69e5fd32933b/" TargetMode="External"/></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ura.go.u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gandainvest.go.ug" TargetMode="Externa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reezones.go.ug" TargetMode="External"/><Relationship Id="rId5" Type="http://schemas.openxmlformats.org/officeDocument/2006/relationships/webSettings" Target="webSettings.xml"/><Relationship Id="rId15" Type="http://schemas.openxmlformats.org/officeDocument/2006/relationships/comments" Target="comments.xml"/><Relationship Id="rId10" Type="http://schemas.openxmlformats.org/officeDocument/2006/relationships/hyperlink" Target="https://www.finance.go.u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ra.go.ug" TargetMode="External"/><Relationship Id="rId14" Type="http://schemas.openxmlformats.org/officeDocument/2006/relationships/hyperlink" Target="https://www.bloomberglaw.com/product/tax/search/results/83d6128383a56c7d4ebf69e5fd32933b/"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3CF0C-5661-4550-BAFB-D359C6B87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9705</Words>
  <Characters>47265</Characters>
  <Application>Microsoft Office Word</Application>
  <DocSecurity>0</DocSecurity>
  <Lines>7877</Lines>
  <Paragraphs>1424</Paragraphs>
  <ScaleCrop>false</ScaleCrop>
  <Company/>
  <LinksUpToDate>false</LinksUpToDate>
  <CharactersWithSpaces>55546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MMAKS ADVOCATES</dc:creator>
  <cp:keywords/>
  <dc:description/>
  <cp:lastModifiedBy>Cruz, Ricky</cp:lastModifiedBy>
  <cp:revision>2</cp:revision>
  <cp:lastPrinted>2022-11-17T14:15:00Z</cp:lastPrinted>
  <dcterms:created xsi:type="dcterms:W3CDTF">2023-09-26T20:35:00Z</dcterms:created>
  <dcterms:modified xsi:type="dcterms:W3CDTF">2023-09-26T20:35:00Z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86616f-5bb4-45d1-b9c4-7a19bded0f1d_Enabled">
    <vt:lpwstr>true</vt:lpwstr>
  </property>
  <property fmtid="{D5CDD505-2E9C-101B-9397-08002B2CF9AE}" pid="3" name="MSIP_Label_f786616f-5bb4-45d1-b9c4-7a19bded0f1d_SetDate">
    <vt:lpwstr>2023-09-26T20:35:00Z</vt:lpwstr>
  </property>
  <property fmtid="{D5CDD505-2E9C-101B-9397-08002B2CF9AE}" pid="4" name="MSIP_Label_f786616f-5bb4-45d1-b9c4-7a19bded0f1d_Method">
    <vt:lpwstr>Standard</vt:lpwstr>
  </property>
  <property fmtid="{D5CDD505-2E9C-101B-9397-08002B2CF9AE}" pid="5" name="MSIP_Label_f786616f-5bb4-45d1-b9c4-7a19bded0f1d_Name">
    <vt:lpwstr>Public</vt:lpwstr>
  </property>
  <property fmtid="{D5CDD505-2E9C-101B-9397-08002B2CF9AE}" pid="6" name="MSIP_Label_f786616f-5bb4-45d1-b9c4-7a19bded0f1d_SiteId">
    <vt:lpwstr>97be21fd-c601-4b16-9920-f5accc69da65</vt:lpwstr>
  </property>
  <property fmtid="{D5CDD505-2E9C-101B-9397-08002B2CF9AE}" pid="7" name="MSIP_Label_f786616f-5bb4-45d1-b9c4-7a19bded0f1d_ActionId">
    <vt:lpwstr>85d7a604-9da9-4c11-a61b-1a2287f83eac</vt:lpwstr>
  </property>
  <property fmtid="{D5CDD505-2E9C-101B-9397-08002B2CF9AE}" pid="8" name="MSIP_Label_f786616f-5bb4-45d1-b9c4-7a19bded0f1d_ContentBits">
    <vt:lpwstr>0</vt:lpwstr>
  </property>
</Properties>
</file>